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08" w:rsidRPr="00B54A75" w:rsidRDefault="00A71108">
      <w:pPr>
        <w:rPr>
          <w:b/>
        </w:rPr>
      </w:pPr>
    </w:p>
    <w:p w:rsidR="00360830" w:rsidRPr="00D11419" w:rsidRDefault="00C56D72">
      <w:pPr>
        <w:rPr>
          <w:sz w:val="24"/>
          <w:szCs w:val="24"/>
        </w:rPr>
      </w:pPr>
      <w:r w:rsidRPr="00B82BC6">
        <w:rPr>
          <w:b/>
          <w:sz w:val="24"/>
          <w:szCs w:val="24"/>
        </w:rPr>
        <w:t xml:space="preserve">Supplementary Table </w:t>
      </w:r>
      <w:r w:rsidR="00B82BC6" w:rsidRPr="00B82BC6">
        <w:rPr>
          <w:b/>
          <w:sz w:val="24"/>
          <w:szCs w:val="24"/>
        </w:rPr>
        <w:t>S</w:t>
      </w:r>
      <w:r w:rsidRPr="00B82BC6">
        <w:rPr>
          <w:b/>
          <w:sz w:val="24"/>
          <w:szCs w:val="24"/>
        </w:rPr>
        <w:t>1</w:t>
      </w:r>
      <w:r w:rsidRPr="00B82BC6">
        <w:rPr>
          <w:sz w:val="24"/>
          <w:szCs w:val="24"/>
        </w:rPr>
        <w:t>.</w:t>
      </w:r>
      <w:r w:rsidR="00B422A7" w:rsidRPr="00B82BC6">
        <w:rPr>
          <w:sz w:val="24"/>
          <w:szCs w:val="24"/>
        </w:rPr>
        <w:t xml:space="preserve"> </w:t>
      </w:r>
      <w:r w:rsidR="00B422A7" w:rsidRPr="00D11419">
        <w:rPr>
          <w:sz w:val="24"/>
          <w:szCs w:val="24"/>
        </w:rPr>
        <w:t>Cross</w:t>
      </w:r>
      <w:r w:rsidR="00B82BC6">
        <w:rPr>
          <w:sz w:val="24"/>
          <w:szCs w:val="24"/>
        </w:rPr>
        <w:t>-</w:t>
      </w:r>
      <w:r w:rsidR="00B422A7" w:rsidRPr="00D11419">
        <w:rPr>
          <w:sz w:val="24"/>
          <w:szCs w:val="24"/>
        </w:rPr>
        <w:t>sectional and longitudinal studies investigating nutrition</w:t>
      </w:r>
      <w:r w:rsidR="006E4E0D">
        <w:rPr>
          <w:sz w:val="24"/>
          <w:szCs w:val="24"/>
        </w:rPr>
        <w:t>al intake</w:t>
      </w:r>
      <w:r w:rsidR="00B422A7" w:rsidRPr="00D11419">
        <w:rPr>
          <w:sz w:val="24"/>
          <w:szCs w:val="24"/>
        </w:rPr>
        <w:t xml:space="preserve"> and cerebral structure in older adults</w:t>
      </w:r>
      <w:r w:rsidR="009F31F9">
        <w:rPr>
          <w:sz w:val="24"/>
          <w:szCs w:val="24"/>
        </w:rPr>
        <w:t xml:space="preserve"> without dementia (or in mixed groups adjusting for dementia diagnosis)</w:t>
      </w:r>
    </w:p>
    <w:tbl>
      <w:tblPr>
        <w:tblW w:w="15168" w:type="dxa"/>
        <w:tblLook w:val="04A0" w:firstRow="1" w:lastRow="0" w:firstColumn="1" w:lastColumn="0" w:noHBand="0" w:noVBand="1"/>
      </w:tblPr>
      <w:tblGrid>
        <w:gridCol w:w="1840"/>
        <w:gridCol w:w="1161"/>
        <w:gridCol w:w="1082"/>
        <w:gridCol w:w="1274"/>
        <w:gridCol w:w="1328"/>
        <w:gridCol w:w="1418"/>
        <w:gridCol w:w="1417"/>
        <w:gridCol w:w="5760"/>
      </w:tblGrid>
      <w:tr w:rsidR="009321E8" w:rsidRPr="00B54A75" w:rsidTr="002A279C">
        <w:trPr>
          <w:trHeight w:val="540"/>
        </w:trPr>
        <w:tc>
          <w:tcPr>
            <w:tcW w:w="1840" w:type="dxa"/>
            <w:vMerge w:val="restart"/>
            <w:tcBorders>
              <w:top w:val="single" w:sz="4" w:space="0" w:color="auto"/>
              <w:left w:val="nil"/>
              <w:bottom w:val="single" w:sz="4" w:space="0" w:color="000000"/>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color w:val="000000"/>
                <w:sz w:val="20"/>
                <w:szCs w:val="20"/>
                <w:lang w:eastAsia="en-AU"/>
              </w:rPr>
              <w:t>Study</w:t>
            </w:r>
          </w:p>
        </w:tc>
        <w:tc>
          <w:tcPr>
            <w:tcW w:w="1049" w:type="dxa"/>
            <w:vMerge w:val="restart"/>
            <w:tcBorders>
              <w:top w:val="single" w:sz="4" w:space="0" w:color="auto"/>
              <w:left w:val="nil"/>
              <w:bottom w:val="single" w:sz="4" w:space="0" w:color="000000"/>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color w:val="000000"/>
                <w:sz w:val="20"/>
                <w:szCs w:val="20"/>
                <w:lang w:eastAsia="en-AU"/>
              </w:rPr>
              <w:t>Study Measure*</w:t>
            </w:r>
          </w:p>
        </w:tc>
        <w:tc>
          <w:tcPr>
            <w:tcW w:w="2356" w:type="dxa"/>
            <w:gridSpan w:val="2"/>
            <w:tcBorders>
              <w:top w:val="single" w:sz="4" w:space="0" w:color="auto"/>
              <w:left w:val="nil"/>
              <w:bottom w:val="nil"/>
              <w:right w:val="nil"/>
            </w:tcBorders>
            <w:shd w:val="clear" w:color="auto" w:fill="auto"/>
            <w:vAlign w:val="bottom"/>
            <w:hideMark/>
          </w:tcPr>
          <w:p w:rsidR="00112011" w:rsidRPr="00B54A75" w:rsidRDefault="003F2254" w:rsidP="00112011">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 xml:space="preserve">Reported </w:t>
            </w:r>
            <w:r w:rsidR="00112011" w:rsidRPr="00B54A75">
              <w:rPr>
                <w:rFonts w:ascii="Calibri" w:eastAsia="Times New Roman" w:hAnsi="Calibri" w:cs="Calibri"/>
                <w:b/>
                <w:bCs/>
                <w:color w:val="000000"/>
                <w:sz w:val="20"/>
                <w:szCs w:val="20"/>
                <w:lang w:eastAsia="en-AU"/>
              </w:rPr>
              <w:t>Target Groups</w:t>
            </w:r>
          </w:p>
        </w:tc>
        <w:tc>
          <w:tcPr>
            <w:tcW w:w="4163" w:type="dxa"/>
            <w:gridSpan w:val="3"/>
            <w:tcBorders>
              <w:top w:val="single" w:sz="4" w:space="0" w:color="auto"/>
              <w:left w:val="nil"/>
              <w:bottom w:val="nil"/>
              <w:right w:val="nil"/>
            </w:tcBorders>
            <w:shd w:val="clear" w:color="auto" w:fill="auto"/>
            <w:vAlign w:val="bottom"/>
            <w:hideMark/>
          </w:tcPr>
          <w:p w:rsidR="00112011" w:rsidRPr="00B54A75" w:rsidRDefault="00112011" w:rsidP="00112011">
            <w:pPr>
              <w:spacing w:after="0" w:line="240" w:lineRule="auto"/>
              <w:jc w:val="center"/>
              <w:rPr>
                <w:rFonts w:ascii="Calibri" w:eastAsia="Times New Roman" w:hAnsi="Calibri" w:cs="Calibri"/>
                <w:b/>
                <w:bCs/>
                <w:color w:val="000000"/>
                <w:sz w:val="20"/>
                <w:szCs w:val="20"/>
                <w:lang w:eastAsia="en-AU"/>
              </w:rPr>
            </w:pPr>
            <w:r w:rsidRPr="00B54A75">
              <w:rPr>
                <w:rFonts w:ascii="Calibri" w:eastAsia="Times New Roman" w:hAnsi="Calibri" w:cs="Calibri"/>
                <w:b/>
                <w:bCs/>
                <w:color w:val="000000"/>
                <w:sz w:val="20"/>
                <w:szCs w:val="20"/>
                <w:lang w:eastAsia="en-AU"/>
              </w:rPr>
              <w:t>Age (years)</w:t>
            </w:r>
          </w:p>
        </w:tc>
        <w:tc>
          <w:tcPr>
            <w:tcW w:w="5760" w:type="dxa"/>
            <w:tcBorders>
              <w:top w:val="single" w:sz="4" w:space="0" w:color="auto"/>
              <w:left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color w:val="000000"/>
                <w:sz w:val="20"/>
                <w:szCs w:val="20"/>
                <w:lang w:eastAsia="en-AU"/>
              </w:rPr>
              <w:t>Cerebral Structure Outcomes</w:t>
            </w:r>
          </w:p>
        </w:tc>
      </w:tr>
      <w:tr w:rsidR="009321E8" w:rsidRPr="00B54A75" w:rsidTr="002A279C">
        <w:trPr>
          <w:trHeight w:val="315"/>
        </w:trPr>
        <w:tc>
          <w:tcPr>
            <w:tcW w:w="1840" w:type="dxa"/>
            <w:vMerge/>
            <w:tcBorders>
              <w:top w:val="single" w:sz="4" w:space="0" w:color="auto"/>
              <w:left w:val="nil"/>
              <w:bottom w:val="single" w:sz="4" w:space="0" w:color="000000"/>
              <w:right w:val="nil"/>
            </w:tcBorders>
            <w:vAlign w:val="center"/>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p>
        </w:tc>
        <w:tc>
          <w:tcPr>
            <w:tcW w:w="1049" w:type="dxa"/>
            <w:vMerge/>
            <w:tcBorders>
              <w:top w:val="single" w:sz="4" w:space="0" w:color="auto"/>
              <w:left w:val="nil"/>
              <w:bottom w:val="single" w:sz="4" w:space="0" w:color="000000"/>
              <w:right w:val="nil"/>
            </w:tcBorders>
            <w:vAlign w:val="center"/>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p>
        </w:tc>
        <w:tc>
          <w:tcPr>
            <w:tcW w:w="1082" w:type="dxa"/>
            <w:tcBorders>
              <w:top w:val="nil"/>
              <w:left w:val="nil"/>
              <w:bottom w:val="single" w:sz="4" w:space="0" w:color="auto"/>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color w:val="000000"/>
                <w:sz w:val="20"/>
                <w:szCs w:val="20"/>
                <w:lang w:eastAsia="en-AU"/>
              </w:rPr>
              <w:t>Descriptor</w:t>
            </w:r>
          </w:p>
        </w:tc>
        <w:tc>
          <w:tcPr>
            <w:tcW w:w="1274" w:type="dxa"/>
            <w:tcBorders>
              <w:top w:val="nil"/>
              <w:left w:val="nil"/>
              <w:bottom w:val="single" w:sz="4" w:space="0" w:color="auto"/>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color w:val="000000"/>
                <w:sz w:val="20"/>
                <w:szCs w:val="20"/>
                <w:lang w:eastAsia="en-AU"/>
              </w:rPr>
              <w:t>N</w:t>
            </w:r>
          </w:p>
        </w:tc>
        <w:tc>
          <w:tcPr>
            <w:tcW w:w="1328" w:type="dxa"/>
            <w:tcBorders>
              <w:top w:val="nil"/>
              <w:left w:val="nil"/>
              <w:bottom w:val="single" w:sz="4" w:space="0" w:color="auto"/>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color w:val="000000"/>
                <w:sz w:val="20"/>
                <w:szCs w:val="20"/>
                <w:lang w:eastAsia="en-AU"/>
              </w:rPr>
              <w:t>Range</w:t>
            </w:r>
          </w:p>
        </w:tc>
        <w:tc>
          <w:tcPr>
            <w:tcW w:w="1418" w:type="dxa"/>
            <w:tcBorders>
              <w:top w:val="nil"/>
              <w:left w:val="nil"/>
              <w:bottom w:val="single" w:sz="4" w:space="0" w:color="auto"/>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color w:val="000000"/>
                <w:sz w:val="20"/>
                <w:szCs w:val="20"/>
                <w:lang w:eastAsia="en-AU"/>
              </w:rPr>
              <w:t>Mean</w:t>
            </w:r>
          </w:p>
        </w:tc>
        <w:tc>
          <w:tcPr>
            <w:tcW w:w="1417" w:type="dxa"/>
            <w:tcBorders>
              <w:top w:val="nil"/>
              <w:left w:val="nil"/>
              <w:bottom w:val="single" w:sz="4" w:space="0" w:color="auto"/>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color w:val="000000"/>
                <w:sz w:val="20"/>
                <w:szCs w:val="20"/>
                <w:lang w:eastAsia="en-AU"/>
              </w:rPr>
              <w:t>SD</w:t>
            </w:r>
          </w:p>
        </w:tc>
        <w:tc>
          <w:tcPr>
            <w:tcW w:w="5760" w:type="dxa"/>
            <w:tcBorders>
              <w:left w:val="nil"/>
              <w:bottom w:val="single" w:sz="4" w:space="0" w:color="000000"/>
              <w:right w:val="nil"/>
            </w:tcBorders>
            <w:vAlign w:val="center"/>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p>
        </w:tc>
      </w:tr>
      <w:tr w:rsidR="009321E8" w:rsidRPr="00B54A75" w:rsidTr="00222F25">
        <w:trPr>
          <w:trHeight w:val="285"/>
        </w:trPr>
        <w:tc>
          <w:tcPr>
            <w:tcW w:w="3971" w:type="dxa"/>
            <w:gridSpan w:val="3"/>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r w:rsidRPr="00B54A75">
              <w:rPr>
                <w:rFonts w:ascii="Calibri" w:eastAsia="Times New Roman" w:hAnsi="Calibri" w:cs="Calibri"/>
                <w:b/>
                <w:bCs/>
                <w:iCs/>
                <w:color w:val="000000"/>
                <w:sz w:val="20"/>
                <w:szCs w:val="20"/>
                <w:lang w:eastAsia="en-AU"/>
              </w:rPr>
              <w:t>B Vitamins (or related biomarkers)</w:t>
            </w:r>
          </w:p>
        </w:tc>
        <w:tc>
          <w:tcPr>
            <w:tcW w:w="1274" w:type="dxa"/>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p>
        </w:tc>
        <w:tc>
          <w:tcPr>
            <w:tcW w:w="1328" w:type="dxa"/>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8" w:type="dxa"/>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5760" w:type="dxa"/>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r>
      <w:tr w:rsidR="008251F9" w:rsidRPr="00B54A75" w:rsidTr="00222F25">
        <w:trPr>
          <w:trHeight w:val="1335"/>
        </w:trPr>
        <w:tc>
          <w:tcPr>
            <w:tcW w:w="1840" w:type="dxa"/>
            <w:tcBorders>
              <w:top w:val="nil"/>
              <w:left w:val="nil"/>
              <w:bottom w:val="nil"/>
              <w:right w:val="nil"/>
            </w:tcBorders>
            <w:shd w:val="clear" w:color="000000" w:fill="D9D9D9"/>
            <w:vAlign w:val="bottom"/>
            <w:hideMark/>
          </w:tcPr>
          <w:p w:rsidR="00112011" w:rsidRPr="00B54A75" w:rsidRDefault="00FA70B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"10.3233/JAD-170796", "author" : [ { "dropping-particle" : "", "family" : "Tan", "given" : "Bryce", "non-dropping-particle" : "", "parse-names" : false, "suffix" : "" }, { "dropping-particle" : "", "family" : "Venketasubramanian", "given" : "Narayanaswamy", "non-dropping-particle" : "", "parse-names" : false, "suffix" : "" }, { "dropping-particle" : "", "family" : "Vrooman", "given" : "Henri", "non-dropping-particle" : "", "parse-names" : false, "suffix" : "" }, { "dropping-particle" : "", "family" : "Cheng", "given" : "Ching-Yu", "non-dropping-particle" : "", "parse-names" : false, "suffix" : "" }, { "dropping-particle" : "", "family" : "Wong", "given" : "T.Y.", "non-dropping-particle" : "", "parse-names" : false, "suffix" : "" }, { "dropping-particle" : "", "family" : "Ikram", "given" : "M.K.", "non-dropping-particle" : "", "parse-names" : false, "suffix" : "" }, { "dropping-particle" : "", "family" : "Chen", "given" : "C.", "non-dropping-particle" : "", "parse-names" : false, "suffix" : "" }, { "dropping-particle" : "", "family" : "Hilal", "given" : "S.", "non-dropping-particle" : "", "parse-names" : false, "suffix" : "" } ], "container-title" : "Journal of Alzheimer's disease", "id" : "ITEM-1", "issued" : { "date-parts" : [ [ "2018" ] ] }, "page" : "877-885", "title" : "Homocysteine and Cerebral Atrophy: The Epidemiology of Dementia in Singapore Study", "type" : "article-journal", "volume" : "62" }, "uris" : [ "http://www.mendeley.com/documents/?uuid=93e46bbe-43f0-4520-aaa3-3619daf9cbe9" ] } ], "mendeley" : { "formattedCitation" : "&lt;sup&gt;(1)&lt;/sup&gt;", "manualFormatting" : "Tan et al.(1)", "plainTextFormattedCitation" : "(1)", "previouslyFormattedCitation" : "&lt;sup&gt;(1)&lt;/sup&gt;" }, "properties" : { "noteIndex" : 0 }, "schema" : "https://github.com/citation-style-language/schema/raw/master/csl-citation.json" }</w:instrText>
            </w:r>
            <w:r w:rsidRPr="00B54A75">
              <w:rPr>
                <w:rFonts w:ascii="Calibri" w:eastAsia="Times New Roman" w:hAnsi="Calibri" w:cs="Calibri"/>
                <w:color w:val="000000"/>
                <w:sz w:val="20"/>
                <w:szCs w:val="20"/>
                <w:lang w:eastAsia="en-AU"/>
              </w:rPr>
              <w:fldChar w:fldCharType="separate"/>
            </w:r>
            <w:r w:rsidR="00A85A6A" w:rsidRPr="00B54A75">
              <w:rPr>
                <w:rFonts w:ascii="Calibri" w:eastAsia="Times New Roman" w:hAnsi="Calibri" w:cs="Calibri"/>
                <w:noProof/>
                <w:color w:val="000000"/>
                <w:sz w:val="20"/>
                <w:szCs w:val="20"/>
                <w:lang w:eastAsia="en-AU"/>
              </w:rPr>
              <w:t>Tan et al.</w:t>
            </w:r>
            <w:r w:rsidR="00A85A6A" w:rsidRPr="00B54A75">
              <w:rPr>
                <w:rFonts w:ascii="Calibri" w:eastAsia="Times New Roman" w:hAnsi="Calibri" w:cs="Calibri"/>
                <w:noProof/>
                <w:color w:val="000000"/>
                <w:sz w:val="20"/>
                <w:szCs w:val="20"/>
                <w:vertAlign w:val="superscript"/>
                <w:lang w:eastAsia="en-AU"/>
              </w:rPr>
              <w:t>(1)</w:t>
            </w:r>
            <w:r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768</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69.60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 </w:t>
            </w:r>
            <w:r w:rsidRPr="00B54A75">
              <w:rPr>
                <w:rFonts w:ascii="Calibri" w:eastAsia="Times New Roman" w:hAnsi="Calibri" w:cs="Calibri"/>
                <w:b/>
                <w:bCs/>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iCs/>
                <w:color w:val="000000"/>
                <w:sz w:val="20"/>
                <w:szCs w:val="20"/>
                <w:lang w:eastAsia="en-AU"/>
              </w:rPr>
              <w:t xml:space="preserve"> </w:t>
            </w:r>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WMv</w:t>
            </w:r>
            <w:proofErr w:type="spellEnd"/>
            <w:r w:rsidRPr="00B54A75">
              <w:rPr>
                <w:rFonts w:ascii="Calibri" w:eastAsia="Times New Roman" w:hAnsi="Calibri" w:cs="Calibri"/>
                <w:color w:val="000000"/>
                <w:sz w:val="20"/>
                <w:szCs w:val="20"/>
                <w:lang w:eastAsia="en-AU"/>
              </w:rPr>
              <w:t xml:space="preserve"> within FL, PL, &amp; TL</w:t>
            </w:r>
            <w:r w:rsidRPr="00B54A75">
              <w:rPr>
                <w:rFonts w:ascii="Calibri" w:eastAsia="Times New Roman" w:hAnsi="Calibri" w:cs="Calibri"/>
                <w:color w:val="000000"/>
                <w:sz w:val="20"/>
                <w:szCs w:val="20"/>
                <w:lang w:eastAsia="en-AU"/>
              </w:rPr>
              <w:br/>
              <w:t xml:space="preserve">     ↓ CT within PL</w:t>
            </w:r>
            <w:r w:rsidRPr="00B54A75">
              <w:rPr>
                <w:rFonts w:ascii="Calibri" w:eastAsia="Times New Roman" w:hAnsi="Calibri" w:cs="Calibri"/>
                <w:color w:val="000000"/>
                <w:sz w:val="20"/>
                <w:szCs w:val="20"/>
                <w:lang w:eastAsia="en-AU"/>
              </w:rPr>
              <w:br/>
              <w:t xml:space="preserve">     ↓ Volume of Thalamus, Brainstem &amp; </w:t>
            </w:r>
            <w:proofErr w:type="spellStart"/>
            <w:r w:rsidRPr="00B54A75">
              <w:rPr>
                <w:rFonts w:ascii="Calibri" w:eastAsia="Times New Roman" w:hAnsi="Calibri" w:cs="Calibri"/>
                <w:color w:val="000000"/>
                <w:sz w:val="20"/>
                <w:szCs w:val="20"/>
                <w:lang w:eastAsia="en-AU"/>
              </w:rPr>
              <w:t>Accumbens</w:t>
            </w:r>
            <w:proofErr w:type="spellEnd"/>
            <w:r w:rsidRPr="00B54A75">
              <w:rPr>
                <w:rFonts w:ascii="Calibri" w:eastAsia="Times New Roman" w:hAnsi="Calibri" w:cs="Calibri"/>
                <w:color w:val="000000"/>
                <w:sz w:val="20"/>
                <w:szCs w:val="20"/>
                <w:lang w:eastAsia="en-AU"/>
              </w:rPr>
              <w:t xml:space="preserve"> </w:t>
            </w:r>
          </w:p>
        </w:tc>
      </w:tr>
      <w:tr w:rsidR="009321E8" w:rsidRPr="00B54A75" w:rsidTr="00222F25">
        <w:trPr>
          <w:trHeight w:val="1200"/>
        </w:trPr>
        <w:tc>
          <w:tcPr>
            <w:tcW w:w="1840" w:type="dxa"/>
            <w:tcBorders>
              <w:top w:val="nil"/>
              <w:left w:val="nil"/>
              <w:bottom w:val="nil"/>
              <w:right w:val="nil"/>
            </w:tcBorders>
            <w:shd w:val="clear" w:color="auto" w:fill="auto"/>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Kobe et al.</w:t>
            </w:r>
            <w:r w:rsidR="00FA70B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"10.3945/ajcn.115.116970.1", "author" : [ { "dropping-particle" : "", "family" : "Kobe", "given" : "Theresa", "non-dropping-particle" : "", "parse-names" : false, "suffix" : "" }, { "dropping-particle" : "", "family" : "Witte", "given" : "A Veronica", "non-dropping-particle" : "", "parse-names" : false, "suffix" : "" }, { "dropping-particle" : "", "family" : "Schnelle", "given" : "Ariane", "non-dropping-particle" : "", "parse-names" : false, "suffix" : "" }, { "dropping-particle" : "", "family" : "Grittner", "given" : "Ulrike", "non-dropping-particle" : "", "parse-names" : false, "suffix" : "" }, { "dropping-particle" : "", "family" : "Tesky", "given" : "Valentina A", "non-dropping-particle" : "", "parse-names" : false, "suffix" : "" }, { "dropping-particle" : "", "family" : "Pantel", "given" : "Johannes", "non-dropping-particle" : "", "parse-names" : false, "suffix" : "" }, { "dropping-particle" : "", "family" : "Schuchardt", "given" : "Jan Philipp", "non-dropping-particle" : "", "parse-names" : false, "suffix" : "" }, { "dropping-particle" : "", "family" : "Hahn", "given" : "Andreas", "non-dropping-particle" : "", "parse-names" : false, "suffix" : "" }, { "dropping-particle" : "", "family" : "Bohlken", "given" : "Jens", "non-dropping-particle" : "", "parse-names" : false, "suffix" : "" }, { "dropping-particle" : "", "family" : "Rujescu", "given" : "Dan", "non-dropping-particle" : "", "parse-names" : false, "suffix" : "" }, { "dropping-particle" : "", "family" : "Floel", "given" : "Agnes", "non-dropping-particle" : "", "parse-names" : false, "suffix" : "" } ], "container-title" : "American journal of clinical nutriition", "id" : "ITEM-1", "issued" : { "date-parts" : [ [ "2016" ] ] }, "page" : "1045-1054", "title" : "Vitamin B-12 concentration, memory performance, and hippocampal structure in patients with mild cognitive impairment", "type" : "article-journal", "volume" : "103" }, "uris" : [ "http://www.mendeley.com/documents/?uuid=34382492-a2e9-493c-bfd7-51754954f192" ] } ], "mendeley" : { "formattedCitation" : "&lt;sup&gt;(2)&lt;/sup&gt;", "plainTextFormattedCitation" : "(2)", "previouslyFormattedCitation" : "&lt;sup&gt;(2)&lt;/sup&gt;" }, "properties" : { "noteIndex" : 0 }, "schema" : "https://github.com/citation-style-language/schema/raw/master/csl-citation.json" }</w:instrText>
            </w:r>
            <w:r w:rsidR="00FA70B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w:t>
            </w:r>
            <w:r w:rsidR="00FA70B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VIT-B</w:t>
            </w:r>
            <w:r w:rsidRPr="00B54A75">
              <w:rPr>
                <w:rFonts w:ascii="Calibri" w:eastAsia="Times New Roman" w:hAnsi="Calibri" w:cs="Calibri"/>
                <w:color w:val="000000"/>
                <w:sz w:val="20"/>
                <w:szCs w:val="20"/>
                <w:vertAlign w:val="subscript"/>
                <w:lang w:eastAsia="en-AU"/>
              </w:rPr>
              <w:t>12</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MCI</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100</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50.0 - 80.0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69.0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7.80</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 (MRI &amp; DTI)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VIT-B</w:t>
            </w:r>
            <w:r w:rsidRPr="00B54A75">
              <w:rPr>
                <w:rFonts w:ascii="Calibri" w:eastAsia="Times New Roman" w:hAnsi="Calibri" w:cs="Calibri"/>
                <w:color w:val="000000"/>
                <w:sz w:val="20"/>
                <w:szCs w:val="20"/>
                <w:u w:val="single"/>
                <w:vertAlign w:val="subscript"/>
                <w:lang w:eastAsia="en-AU"/>
              </w:rPr>
              <w:t>12</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HC microstructural integrity (HC tail, </w:t>
            </w:r>
            <w:r w:rsidR="00310374">
              <w:rPr>
                <w:rFonts w:ascii="Calibri" w:eastAsia="Times New Roman" w:hAnsi="Calibri" w:cs="Calibri"/>
                <w:color w:val="000000"/>
                <w:sz w:val="20"/>
                <w:szCs w:val="20"/>
                <w:lang w:eastAsia="en-AU"/>
              </w:rPr>
              <w:t xml:space="preserve">DG, &amp; CA4 </w:t>
            </w:r>
            <w:proofErr w:type="gramStart"/>
            <w:r w:rsidR="00310374">
              <w:rPr>
                <w:rFonts w:ascii="Calibri" w:eastAsia="Times New Roman" w:hAnsi="Calibri" w:cs="Calibri"/>
                <w:color w:val="000000"/>
                <w:sz w:val="20"/>
                <w:szCs w:val="20"/>
                <w:lang w:eastAsia="en-AU"/>
              </w:rPr>
              <w:t>subfield</w:t>
            </w:r>
            <w:r w:rsidRPr="00B54A75">
              <w:rPr>
                <w:rFonts w:ascii="Calibri" w:eastAsia="Times New Roman" w:hAnsi="Calibri" w:cs="Calibri"/>
                <w:color w:val="000000"/>
                <w:sz w:val="20"/>
                <w:szCs w:val="20"/>
                <w:lang w:eastAsia="en-AU"/>
              </w:rPr>
              <w:t xml:space="preserve">)   </w:t>
            </w:r>
            <w:proofErr w:type="gramEnd"/>
            <w:r w:rsidRPr="00B54A75">
              <w:rPr>
                <w:rFonts w:ascii="Calibri" w:eastAsia="Times New Roman" w:hAnsi="Calibri" w:cs="Calibri"/>
                <w:color w:val="000000"/>
                <w:sz w:val="20"/>
                <w:szCs w:val="20"/>
                <w:lang w:eastAsia="en-AU"/>
              </w:rPr>
              <w:t xml:space="preserve">            </w:t>
            </w:r>
          </w:p>
        </w:tc>
      </w:tr>
      <w:tr w:rsidR="008251F9" w:rsidRPr="00B54A75" w:rsidTr="00222F25">
        <w:trPr>
          <w:trHeight w:val="1275"/>
        </w:trPr>
        <w:tc>
          <w:tcPr>
            <w:tcW w:w="1840" w:type="dxa"/>
            <w:tcBorders>
              <w:top w:val="nil"/>
              <w:left w:val="nil"/>
              <w:bottom w:val="nil"/>
              <w:right w:val="nil"/>
            </w:tcBorders>
            <w:shd w:val="clear" w:color="000000" w:fill="D9D9D9"/>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Hsu et al.</w:t>
            </w:r>
            <w:r w:rsidR="00FA70B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"10.1371/journal.pone.0116330", "ISSN" : "1932-6203", "PMID" : "25693199", "abstract" : "Homocysteine level can lead to adverse effects on the brain white matter through endothelial dysfunction, microstructural inflammation, and neurotoxin effects. Despite previously observed associations between elevated homocysteine and macroscopic structural brain changes, it is still unknown whether microstructural associations of homocysteine on brain tissue properties can be observed in healthy subjects with routine MRI. To this end, we investigated potential relationships between homocysteine levels and microstructural measures computed with diffusion tensor imaging (DTI) in a cohort of 338 healthy participants. Significant positive correlations were observed between homocysteine levels and diffusivity measures in the bilateral temporal WM, the brainstem, and the bilateral cerebellar peduncle. This is the first study demonstrating that DTI is sufficiently sensitive to relate microstructural WM properties to homocysteine levels in healthy subjects.", "author" : [ { "dropping-particle" : "", "family" : "Hsu", "given" : "Jung-Lung", "non-dropping-particle" : "", "parse-names" : false, "suffix" : "" }, { "dropping-particle" : "", "family" : "Chen", "given" : "Wei-Hung", "non-dropping-particle" : "", "parse-names" : false, "suffix" : "" }, { "dropping-particle" : "", "family" : "Bai", "given" : "Chyi-Huey", "non-dropping-particle" : "", "parse-names" : false, "suffix" : "" }, { "dropping-particle" : "", "family" : "Leu", "given" : "Jyu-Gang", "non-dropping-particle" : "", "parse-names" : false, "suffix" : "" }, { "dropping-particle" : "", "family" : "Hsu", "given" : "Chien-Yeh", "non-dropping-particle" : "", "parse-names" : false, "suffix" : "" }, { "dropping-particle" : "", "family" : "Viergever", "given" : "Max A", "non-dropping-particle" : "", "parse-names" : false, "suffix" : "" }, { "dropping-particle" : "", "family" : "Leemans", "given" : "Alexander", "non-dropping-particle" : "", "parse-names" : false, "suffix" : "" } ], "container-title" : "PloS one", "id" : "ITEM-1", "issued" : { "date-parts" : [ [ "2015", "1" ] ] }, "page" : "e0116330", "title" : "Microstructural white matter tissue characteristics are modulated by homocysteine: a diffusion tensor imaging study", "type" : "article-journal", "volume" : "10" }, "uris" : [ "http://www.mendeley.com/documents/?uuid=e34e20a2-8115-468f-80ec-dc234295d0cf" ] } ], "mendeley" : { "formattedCitation" : "&lt;sup&gt;(3)&lt;/sup&gt;", "plainTextFormattedCitation" : "(3)", "previouslyFormattedCitation" : "&lt;sup&gt;(3)&lt;/sup&gt;" }, "properties" : { "noteIndex" : 0 }, "schema" : "https://github.com/citation-style-language/schema/raw/master/csl-citation.json" }</w:instrText>
            </w:r>
            <w:r w:rsidR="00FA70B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(3)</w:t>
            </w:r>
            <w:r w:rsidR="00FA70B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338</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25 - 81</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51.60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10.50</w:t>
            </w:r>
          </w:p>
        </w:tc>
        <w:tc>
          <w:tcPr>
            <w:tcW w:w="5760" w:type="dxa"/>
            <w:tcBorders>
              <w:top w:val="nil"/>
              <w:left w:val="nil"/>
              <w:bottom w:val="nil"/>
              <w:right w:val="nil"/>
            </w:tcBorders>
            <w:shd w:val="clear" w:color="000000" w:fill="D9D9D9"/>
            <w:vAlign w:val="bottom"/>
            <w:hideMark/>
          </w:tcPr>
          <w:p w:rsidR="00112011" w:rsidRPr="00B54A75" w:rsidRDefault="00112011" w:rsidP="00083999">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(DTI)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w:t>
            </w:r>
            <w:r w:rsidR="00083999" w:rsidRPr="00B54A75">
              <w:rPr>
                <w:rFonts w:ascii="Calibri" w:eastAsia="Times New Roman" w:hAnsi="Calibri" w:cs="Calibri"/>
                <w:color w:val="000000"/>
                <w:sz w:val="20"/>
                <w:szCs w:val="20"/>
                <w:lang w:eastAsia="en-AU"/>
              </w:rPr>
              <w:t xml:space="preserve">↓ </w:t>
            </w:r>
            <w:r w:rsidRPr="00B54A75">
              <w:rPr>
                <w:rFonts w:ascii="Calibri" w:eastAsia="Times New Roman" w:hAnsi="Calibri" w:cs="Calibri"/>
                <w:color w:val="000000"/>
                <w:sz w:val="20"/>
                <w:szCs w:val="20"/>
                <w:lang w:eastAsia="en-AU"/>
              </w:rPr>
              <w:t>WM microstructural integrity within regions FL &amp;</w:t>
            </w:r>
            <w:r w:rsidRPr="00B54A75">
              <w:rPr>
                <w:rFonts w:ascii="Calibri" w:eastAsia="Times New Roman" w:hAnsi="Calibri" w:cs="Calibri"/>
                <w:color w:val="000000"/>
                <w:sz w:val="20"/>
                <w:szCs w:val="20"/>
                <w:lang w:eastAsia="en-AU"/>
              </w:rPr>
              <w:br/>
              <w:t xml:space="preserve">            anterior TL, CC &amp; Midbrain</w:t>
            </w:r>
            <w:r w:rsidRPr="00B54A75">
              <w:rPr>
                <w:rFonts w:ascii="Calibri" w:eastAsia="Times New Roman" w:hAnsi="Calibri" w:cs="Calibri"/>
                <w:iCs/>
                <w:color w:val="000000"/>
                <w:sz w:val="20"/>
                <w:szCs w:val="20"/>
                <w:lang w:eastAsia="en-AU"/>
              </w:rPr>
              <w:br/>
              <w:t xml:space="preserve">         </w:t>
            </w:r>
            <w:proofErr w:type="gramStart"/>
            <w:r w:rsidRPr="00B54A75">
              <w:rPr>
                <w:rFonts w:ascii="Calibri" w:eastAsia="Times New Roman" w:hAnsi="Calibri" w:cs="Calibri"/>
                <w:iCs/>
                <w:color w:val="000000"/>
                <w:sz w:val="20"/>
                <w:szCs w:val="20"/>
                <w:lang w:eastAsia="en-AU"/>
              </w:rPr>
              <w:t xml:space="preserve">   (</w:t>
            </w:r>
            <w:proofErr w:type="gramEnd"/>
            <w:r w:rsidRPr="00B54A75">
              <w:rPr>
                <w:rFonts w:ascii="Calibri" w:eastAsia="Times New Roman" w:hAnsi="Calibri" w:cs="Calibri"/>
                <w:iCs/>
                <w:color w:val="000000"/>
                <w:sz w:val="20"/>
                <w:szCs w:val="20"/>
                <w:lang w:eastAsia="en-AU"/>
              </w:rPr>
              <w:t xml:space="preserve">corresponding with multiple WM fibre bundles)                                             </w:t>
            </w:r>
          </w:p>
        </w:tc>
      </w:tr>
      <w:tr w:rsidR="009321E8" w:rsidRPr="00B54A75" w:rsidTr="00222F25">
        <w:trPr>
          <w:trHeight w:val="1665"/>
        </w:trPr>
        <w:tc>
          <w:tcPr>
            <w:tcW w:w="1840" w:type="dxa"/>
            <w:tcBorders>
              <w:top w:val="nil"/>
              <w:left w:val="nil"/>
              <w:bottom w:val="nil"/>
              <w:right w:val="nil"/>
            </w:tcBorders>
            <w:shd w:val="clear" w:color="auto" w:fill="auto"/>
            <w:vAlign w:val="bottom"/>
            <w:hideMark/>
          </w:tcPr>
          <w:p w:rsidR="00112011" w:rsidRPr="00B54A75" w:rsidRDefault="00A85A6A" w:rsidP="00083999">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Madsen et al.</w:t>
            </w:r>
            <w:r w:rsidR="00FA70B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"10.1016/j.neurobiolaging.2014.01.154", "ISSN" : "1558-1497", "PMID" : "25444607", "abstract" : "A significant portion of our risk for dementia in old age is associated with lifestyle factors (diet, exercise, and cardiovascular health) that are modifiable, at least in principle. One such risk factor, high-homocysteine levels in the blood, is known to increase risk for Alzheimer's disease and vascular disorders. Here, we set out to understand how homocysteine levels relate to 3D surface-based maps of cortical gray matter distribution (thickness, volume, and surface area) computed from brain magnetic resonance imaging in 803 elderly subjects from the Alzheimer's Disease Neuroimaging Initiative data set. Individuals with higher plasma levels of homocysteine had lower gray matter thickness in bilateral frontal, parietal, occipital, and right temporal regions and lower gray matter volumes in left frontal, parietal, temporal, and occipital regions, after controlling for diagnosis, age, and sex and after correcting for multiple comparisons. No significant within-group associations were found in cognitively healthy people, patients with mild cognitive impairment, or patients with Alzheimer's disease. These regional differences in gray matter structure may be useful biomarkers to assess the effectiveness of interventions, such as vitamin B supplements, that aim to prevent homocysteine-related brain atrophy by normalizing homocysteine levels.", "author" : [ { "dropping-particle" : "", "family" : "Madsen", "given" : "Sarah K", "non-dropping-particle" : "", "parse-names" : false, "suffix" : "" }, { "dropping-particle" : "", "family" : "Rajagopalan", "given" : "Priya", "non-dropping-particle" : "", "parse-names" : false, "suffix" : "" }, { "dropping-particle" : "", "family" : "Joshi", "given" : "Shantanu H", "non-dropping-particle" : "", "parse-names" : false, "suffix" : "" }, { "dropping-particle" : "", "family" : "Toga", "given" : "Arthur W", "non-dropping-particle" : "", "parse-names" : false, "suffix" : "" }, { "dropping-particle" : "", "family" : "Thompson", "given" : "Paul M", "non-dropping-particle" : "", "parse-names" : false, "suffix" : "" } ], "container-title" : "Neurobiology of Aging", "id" : "ITEM-1", "issued" : { "date-parts" : [ [ "2015", "8", "30" ] ] }, "page" : "S203-S210", "publisher" : "Elsevier Ltd", "title" : "Higher homocysteine associated with thinner cortical gray matter in 803 participants from the Alzheimer's Disease Neuroimaging Initiative", "type" : "article-journal", "volume" : "36" }, "uris" : [ "http://www.mendeley.com/documents/?uuid=d438a98a-720e-4d3b-99a2-dee420f4492c" ] } ], "mendeley" : { "formattedCitation" : "&lt;sup&gt;(4)&lt;/sup&gt;", "plainTextFormattedCitation" : "(4)", "previouslyFormattedCitation" : "&lt;sup&gt;(4)&lt;/sup&gt;" }, "properties" : { "noteIndex" : 0 }, "schema" : "https://github.com/citation-style-language/schema/raw/master/csl-citation.json" }</w:instrText>
            </w:r>
            <w:r w:rsidR="00FA70B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(4)</w:t>
            </w:r>
            <w:r w:rsidR="00FA70B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Mixed†</w:t>
            </w:r>
          </w:p>
        </w:tc>
        <w:tc>
          <w:tcPr>
            <w:tcW w:w="1274" w:type="dxa"/>
            <w:tcBorders>
              <w:top w:val="nil"/>
              <w:left w:val="nil"/>
              <w:bottom w:val="nil"/>
              <w:right w:val="nil"/>
            </w:tcBorders>
            <w:shd w:val="clear" w:color="auto" w:fill="auto"/>
            <w:vAlign w:val="bottom"/>
            <w:hideMark/>
          </w:tcPr>
          <w:p w:rsidR="00FA70BA"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225 (CN)</w:t>
            </w:r>
          </w:p>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392 (MCI) 186 (AD)</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75.33 (CN)</w:t>
            </w:r>
            <w:r w:rsidRPr="00B54A75">
              <w:rPr>
                <w:rFonts w:ascii="Calibri" w:eastAsia="Times New Roman" w:hAnsi="Calibri" w:cs="Calibri"/>
                <w:color w:val="000000"/>
                <w:sz w:val="20"/>
                <w:szCs w:val="20"/>
                <w:lang w:eastAsia="en-AU"/>
              </w:rPr>
              <w:br/>
              <w:t>75.39 (MCI)</w:t>
            </w:r>
            <w:r w:rsidRPr="00B54A75">
              <w:rPr>
                <w:rFonts w:ascii="Calibri" w:eastAsia="Times New Roman" w:hAnsi="Calibri" w:cs="Calibri"/>
                <w:color w:val="000000"/>
                <w:sz w:val="20"/>
                <w:szCs w:val="20"/>
                <w:lang w:eastAsia="en-AU"/>
              </w:rPr>
              <w:br/>
              <w:t>75.45 (AD)</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7.67 (CN)</w:t>
            </w:r>
            <w:r w:rsidRPr="00B54A75">
              <w:rPr>
                <w:rFonts w:ascii="Calibri" w:eastAsia="Times New Roman" w:hAnsi="Calibri" w:cs="Calibri"/>
                <w:color w:val="000000"/>
                <w:sz w:val="20"/>
                <w:szCs w:val="20"/>
                <w:lang w:eastAsia="en-AU"/>
              </w:rPr>
              <w:br/>
              <w:t>7.60 (MCI)</w:t>
            </w:r>
            <w:r w:rsidRPr="00B54A75">
              <w:rPr>
                <w:rFonts w:ascii="Calibri" w:eastAsia="Times New Roman" w:hAnsi="Calibri" w:cs="Calibri"/>
                <w:color w:val="000000"/>
                <w:sz w:val="20"/>
                <w:szCs w:val="20"/>
                <w:lang w:eastAsia="en-AU"/>
              </w:rPr>
              <w:br/>
              <w:t>6.84 (AD)</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 xml:space="preserve">(MRI) </w:t>
            </w:r>
            <w:r w:rsidRPr="00B54A75">
              <w:rPr>
                <w:rFonts w:ascii="Calibri" w:eastAsia="Times New Roman" w:hAnsi="Calibri" w:cs="Calibri"/>
                <w:b/>
                <w:bCs/>
                <w:color w:val="000000"/>
                <w:sz w:val="20"/>
                <w:szCs w:val="20"/>
                <w:lang w:eastAsia="en-AU"/>
              </w:rPr>
              <w:br/>
            </w:r>
            <w:r w:rsidRPr="00B54A75">
              <w:rPr>
                <w:rFonts w:ascii="Calibri" w:eastAsia="Times New Roman" w:hAnsi="Calibri" w:cs="Calibri"/>
                <w:color w:val="000000"/>
                <w:sz w:val="20"/>
                <w:szCs w:val="20"/>
                <w:lang w:eastAsia="en-AU"/>
              </w:rPr>
              <w:t xml:space="preserve"> </w:t>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u w:val="single"/>
                <w:lang w:eastAsia="en-AU"/>
              </w:rPr>
              <w:t xml:space="preserve"> </w:t>
            </w:r>
            <w:r w:rsidRPr="00B54A75">
              <w:rPr>
                <w:rFonts w:ascii="Calibri" w:eastAsia="Times New Roman" w:hAnsi="Calibri" w:cs="Calibri"/>
                <w:color w:val="000000"/>
                <w:sz w:val="20"/>
                <w:szCs w:val="20"/>
                <w:lang w:eastAsia="en-AU"/>
              </w:rPr>
              <w:t>was associated with:</w:t>
            </w:r>
            <w:r w:rsidRPr="00B54A75">
              <w:rPr>
                <w:rFonts w:ascii="Calibri" w:eastAsia="Times New Roman" w:hAnsi="Calibri" w:cs="Calibri"/>
                <w:color w:val="000000"/>
                <w:sz w:val="20"/>
                <w:szCs w:val="20"/>
                <w:lang w:eastAsia="en-AU"/>
              </w:rPr>
              <w:br/>
              <w:t xml:space="preserve">         ↓ CT within FL, PL, &amp; TL</w:t>
            </w:r>
            <w:r w:rsidRPr="00B54A75">
              <w:rPr>
                <w:rFonts w:ascii="Calibri" w:eastAsia="Times New Roman" w:hAnsi="Calibri" w:cs="Calibri"/>
                <w:color w:val="000000"/>
                <w:sz w:val="20"/>
                <w:szCs w:val="20"/>
                <w:lang w:eastAsia="en-AU"/>
              </w:rPr>
              <w:br/>
              <w:t xml:space="preserve">         ↓ Cortical </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within FL, PL, &amp; TL</w:t>
            </w:r>
            <w:r w:rsidRPr="00B54A75">
              <w:rPr>
                <w:rFonts w:ascii="Calibri" w:eastAsia="Times New Roman" w:hAnsi="Calibri" w:cs="Calibri"/>
                <w:iCs/>
                <w:color w:val="000000"/>
                <w:sz w:val="20"/>
                <w:szCs w:val="20"/>
                <w:lang w:eastAsia="en-AU"/>
              </w:rPr>
              <w:br/>
            </w:r>
            <w:r w:rsidRPr="00B54A75">
              <w:rPr>
                <w:rFonts w:ascii="Calibri" w:eastAsia="Times New Roman" w:hAnsi="Calibri" w:cs="Calibri"/>
                <w:color w:val="000000"/>
                <w:sz w:val="20"/>
                <w:szCs w:val="20"/>
                <w:lang w:eastAsia="en-AU"/>
              </w:rPr>
              <w:t>Significant associations only observed for whole group. No significant associations observed for specific subgroups</w:t>
            </w:r>
          </w:p>
        </w:tc>
      </w:tr>
      <w:tr w:rsidR="008251F9" w:rsidRPr="00B54A75" w:rsidTr="00222F25">
        <w:trPr>
          <w:trHeight w:val="885"/>
        </w:trPr>
        <w:tc>
          <w:tcPr>
            <w:tcW w:w="1840" w:type="dxa"/>
            <w:tcBorders>
              <w:top w:val="nil"/>
              <w:left w:val="nil"/>
              <w:bottom w:val="nil"/>
              <w:right w:val="nil"/>
            </w:tcBorders>
            <w:shd w:val="clear" w:color="000000" w:fill="D9D9D9"/>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Bettcher</w:t>
            </w:r>
            <w:proofErr w:type="spellEnd"/>
            <w:r w:rsidRPr="00B54A75">
              <w:rPr>
                <w:rFonts w:ascii="Calibri" w:eastAsia="Times New Roman" w:hAnsi="Calibri" w:cs="Calibri"/>
                <w:color w:val="000000"/>
                <w:sz w:val="20"/>
                <w:szCs w:val="20"/>
                <w:lang w:eastAsia="en-AU"/>
              </w:rPr>
              <w:t xml:space="preserve"> et al.</w:t>
            </w:r>
            <w:r w:rsidR="00083999"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"10.1371/journal.pone.0106521", "ISSN" : "1932-6203", "PMID" : "25188448", "abstract" : "The contribution of inflammation to deleterious aging outcomes is increasingly recognized; however, little is known about the complex relationship between interleukin-6 (IL-6) and brain structure, or how this association might change with increasing age. We examined the association between IL-6, white matter integrity, and cognition in 151 community dwelling older adults, and tested whether age moderated these associations. Blood levels of IL-6 and vascular risk (e.g., homocysteine), as well as health history information, were collected. Processing speed assessments were administered to assess cognitive functioning, and we employed tract-based spatial statistics to examine whole brain white matter and regions of interest. Given the association between inflammation, vascular risk, and corpus callosum (CC) integrity, fractional anisotropy (FA) of the genu, body, and splenium represented our primary dependent variables. Whole brain analysis revealed an inverse association between IL-6 and CC fractional anisotropy. Subsequent ROI linear regression and ridge regression analyses indicated that the magnitude of this effect increased with age; thus, older individuals with higher IL-6 levels displayed lower white matter integrity. Finally, higher IL-6 levels were related to worse processing speed; this association was moderated by age, and was not fully accounted for by CC volume. This study highlights that at older ages, the association between higher IL-6 levels and lower white matter integrity is more pronounced; furthermore, it underscores the important, albeit burgeoning role of inflammatory processes in cognitive aging trajectories.", "author" : [ { "dropping-particle" : "", "family" : "Bettcher", "given" : "Brianne M", "non-dropping-particle" : "", "parse-names" : false, "suffix" : "" }, { "dropping-particle" : "", "family" : "Watson", "given" : "Christa L", "non-dropping-particle" : "", "parse-names" : false, "suffix" : "" }, { "dropping-particle" : "", "family" : "Walsh", "given" : "Christine M", "non-dropping-particle" : "", "parse-names" : false, "suffix" : "" }, { "dropping-particle" : "V", "family" : "Lobach", "given" : "Iryna", "non-dropping-particle" : "", "parse-names" : false, "suffix" : "" }, { "dropping-particle" : "", "family" : "Neuhaus", "given" : "John", "non-dropping-particle" : "", "parse-names" : false, "suffix" : "" }, { "dropping-particle" : "", "family" : "Miller", "given" : "Joshua W", "non-dropping-particle" : "", "parse-names" : false, "suffix" : "" }, { "dropping-particle" : "", "family" : "Green", "given" : "Ralph", "non-dropping-particle" : "", "parse-names" : false, "suffix" : "" }, { "dropping-particle" : "", "family" : "Patel", "given" : "Nihar", "non-dropping-particle" : "", "parse-names" : false, "suffix" : "" }, { "dropping-particle" : "", "family" : "Dutt", "given" : "Shubir", "non-dropping-particle" : "", "parse-names" : false, "suffix" : "" }, { "dropping-particle" : "", "family" : "Busovaca", "given" : "Edgar", "non-dropping-particle" : "", "parse-names" : false, "suffix" : "" }, { "dropping-particle" : "", "family" : "Rosen", "given" : "Howard J", "non-dropping-particle" : "", "parse-names" : false, "suffix" : "" }, { "dropping-particle" : "", "family" : "Yaffe", "given" : "Kristine", "non-dropping-particle" : "", "parse-names" : false, "suffix" : "" }, { "dropping-particle" : "", "family" : "Miller", "given" : "Bruce L", "non-dropping-particle" : "", "parse-names" : false, "suffix" : "" }, { "dropping-particle" : "", "family" : "Kramer", "given" : "Joel H", "non-dropping-particle" : "", "parse-names" : false, "suffix" : "" } ], "container-title" : "PloS one", "id" : "ITEM-1", "issue" : "9", "issued" : { "date-parts" : [ [ "2014", "1" ] ] }, "page" : "e106521", "title" : "Interleukin-6, age, and corpus callosum integrity.", "type" : "article-journal", "volume" : "9" }, "uris" : [ "http://www.mendeley.com/documents/?uuid=3dc605ac-ef7d-44b0-9535-db9acb6be596" ] } ], "mendeley" : { "formattedCitation" : "&lt;sup&gt;(5)&lt;/sup&gt;", "plainTextFormattedCitation" : "(5)", "previouslyFormattedCitation" : "&lt;sup&gt;(5)&lt;/sup&gt;" }, "properties" : { "noteIndex" : 0 }, "schema" : "https://github.com/citation-style-language/schema/raw/master/csl-citation.json" }</w:instrText>
            </w:r>
            <w:r w:rsidR="00083999"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(5)</w:t>
            </w:r>
            <w:r w:rsidR="00083999"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151</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62.0 - 87.0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71.60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5.70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(DTI)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iCs/>
                <w:color w:val="000000"/>
                <w:sz w:val="20"/>
                <w:szCs w:val="20"/>
                <w:lang w:eastAsia="en-AU"/>
              </w:rPr>
              <w:t xml:space="preserve">↓ </w:t>
            </w:r>
            <w:r w:rsidRPr="00B54A75">
              <w:rPr>
                <w:rFonts w:ascii="Calibri" w:eastAsia="Times New Roman" w:hAnsi="Calibri" w:cs="Calibri"/>
                <w:color w:val="000000"/>
                <w:sz w:val="20"/>
                <w:szCs w:val="20"/>
                <w:lang w:eastAsia="en-AU"/>
              </w:rPr>
              <w:t>WM microstructural integrity within CC</w:t>
            </w:r>
          </w:p>
        </w:tc>
      </w:tr>
      <w:tr w:rsidR="009321E8" w:rsidRPr="00B54A75" w:rsidTr="00222F25">
        <w:trPr>
          <w:trHeight w:val="1200"/>
        </w:trPr>
        <w:tc>
          <w:tcPr>
            <w:tcW w:w="1840" w:type="dxa"/>
            <w:tcBorders>
              <w:top w:val="nil"/>
              <w:left w:val="nil"/>
              <w:bottom w:val="nil"/>
              <w:right w:val="nil"/>
            </w:tcBorders>
            <w:shd w:val="clear" w:color="auto" w:fill="auto"/>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lastRenderedPageBreak/>
              <w:t>Feng et al.</w:t>
            </w:r>
            <w:r w:rsidR="00D41D01"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"Feng", "given" : "L.", "non-dropping-particle" : "", "parse-names" : false, "suffix" : "" }, { "dropping-particle" : "", "family" : "Isaac", "given" : "V.", "non-dropping-particle" : "", "parse-names" : false, "suffix" : "" }, { "dropping-particle" : "", "family" : "Sim", "given" : "S.", "non-dropping-particle" : "", "parse-names" : false, "suffix" : "" }, { "dropping-particle" : "", "family" : "Ng", "given" : "Tze Pin", "non-dropping-particle" : "", "parse-names" : false, "suffix" : "" }, { "dropping-particle" : "", "family" : "Krishnan", "given" : "K.R.R.", "non-dropping-particle" : "", "parse-names" : false, "suffix" : "" }, { "dropping-particle" : "", "family" : "Chee", "given" : "M.W.L.", "non-dropping-particle" : "", "parse-names" : false, "suffix" : "" } ], "container-title" : "The American Journal of Geriatric Psychiatry", "id" : "ITEM-1", "issue" : "2", "issued" : { "date-parts" : [ [ "2013" ] ] }, "page" : "164-172", "title" : "Associations Between Elevated Homocysteine, Cognitive Impairment, and Reduced White Matter Volume in Healthy Old Adults", "type" : "article-journal", "volume" : "21" }, "uris" : [ "http://www.mendeley.com/documents/?uuid=c0e3f828-3e5f-4e98-b5d0-1adb7c8a7a93" ] } ], "mendeley" : { "formattedCitation" : "&lt;sup&gt;(6)&lt;/sup&gt;", "plainTextFormattedCitation" : "(6)", "previouslyFormattedCitation" : "&lt;sup&gt;(6)&lt;/sup&gt;" }, "properties" : { "noteIndex" : 0 }, "schema" : "https://github.com/citation-style-language/schema/raw/master/csl-citation.json" }</w:instrText>
            </w:r>
            <w:r w:rsidR="00D41D01"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(6)</w:t>
            </w:r>
            <w:r w:rsidR="00D41D01"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VIT-B</w:t>
            </w:r>
            <w:r w:rsidRPr="00B54A75">
              <w:rPr>
                <w:rFonts w:ascii="Calibri" w:eastAsia="Times New Roman" w:hAnsi="Calibri" w:cs="Calibri"/>
                <w:color w:val="000000"/>
                <w:sz w:val="20"/>
                <w:szCs w:val="20"/>
                <w:vertAlign w:val="subscript"/>
                <w:lang w:eastAsia="en-AU"/>
              </w:rPr>
              <w:t>12</w:t>
            </w:r>
            <w:r w:rsidR="00083999" w:rsidRPr="00B54A75">
              <w:rPr>
                <w:rFonts w:ascii="Calibri" w:eastAsia="Times New Roman" w:hAnsi="Calibri" w:cs="Calibri"/>
                <w:color w:val="000000"/>
                <w:sz w:val="20"/>
                <w:szCs w:val="20"/>
                <w:lang w:eastAsia="en-AU"/>
              </w:rPr>
              <w:t xml:space="preserve">, Folate, </w:t>
            </w:r>
            <w:r w:rsidRPr="00B54A75">
              <w:rPr>
                <w:rFonts w:ascii="Calibri" w:eastAsia="Times New Roman" w:hAnsi="Calibri" w:cs="Calibri"/>
                <w:color w:val="000000"/>
                <w:sz w:val="20"/>
                <w:szCs w:val="20"/>
                <w:lang w:eastAsia="en-AU"/>
              </w:rPr>
              <w:t xml:space="preserve">&amp; </w:t>
            </w: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228</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≥55.0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65.40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6.20</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(MRI) </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u w:val="single"/>
                <w:lang w:eastAsia="en-AU"/>
              </w:rPr>
              <w:t xml:space="preserve"> </w:t>
            </w:r>
            <w:r w:rsidRPr="00B54A75">
              <w:rPr>
                <w:rFonts w:ascii="Calibri" w:eastAsia="Times New Roman" w:hAnsi="Calibri" w:cs="Calibri"/>
                <w:color w:val="000000"/>
                <w:sz w:val="20"/>
                <w:szCs w:val="20"/>
                <w:lang w:eastAsia="en-AU"/>
              </w:rPr>
              <w:t>was associated with:</w:t>
            </w:r>
            <w:r w:rsidRPr="00B54A75">
              <w:rPr>
                <w:rFonts w:ascii="Calibri" w:eastAsia="Times New Roman" w:hAnsi="Calibri" w:cs="Calibri"/>
                <w:color w:val="000000"/>
                <w:sz w:val="20"/>
                <w:szCs w:val="20"/>
                <w:lang w:eastAsia="en-AU"/>
              </w:rPr>
              <w:br/>
              <w:t xml:space="preserve">        ↓ TC-</w:t>
            </w:r>
            <w:proofErr w:type="spellStart"/>
            <w:r w:rsidRPr="00B54A75">
              <w:rPr>
                <w:rFonts w:ascii="Calibri" w:eastAsia="Times New Roman" w:hAnsi="Calibri" w:cs="Calibri"/>
                <w:color w:val="000000"/>
                <w:sz w:val="20"/>
                <w:szCs w:val="20"/>
                <w:lang w:eastAsia="en-AU"/>
              </w:rPr>
              <w:t>WMv</w:t>
            </w:r>
            <w:proofErr w:type="spellEnd"/>
            <w:r w:rsidRPr="00B54A75">
              <w:rPr>
                <w:rFonts w:ascii="Calibri" w:eastAsia="Times New Roman" w:hAnsi="Calibri" w:cs="Calibri"/>
                <w:color w:val="000000"/>
                <w:sz w:val="20"/>
                <w:szCs w:val="20"/>
                <w:lang w:eastAsia="en-AU"/>
              </w:rPr>
              <w:t xml:space="preserve">   </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VIT-B</w:t>
            </w:r>
            <w:r w:rsidRPr="00B54A75">
              <w:rPr>
                <w:rFonts w:ascii="Calibri" w:eastAsia="Times New Roman" w:hAnsi="Calibri" w:cs="Calibri"/>
                <w:color w:val="000000"/>
                <w:sz w:val="20"/>
                <w:szCs w:val="20"/>
                <w:u w:val="single"/>
                <w:vertAlign w:val="subscript"/>
                <w:lang w:eastAsia="en-AU"/>
              </w:rPr>
              <w:t>12</w:t>
            </w:r>
            <w:r w:rsidRPr="00B54A75">
              <w:rPr>
                <w:rFonts w:ascii="Calibri" w:eastAsia="Times New Roman" w:hAnsi="Calibri" w:cs="Calibri"/>
                <w:color w:val="000000"/>
                <w:sz w:val="20"/>
                <w:szCs w:val="20"/>
                <w:u w:val="single"/>
                <w:lang w:eastAsia="en-AU"/>
              </w:rPr>
              <w:t xml:space="preserve"> </w:t>
            </w:r>
            <w:r w:rsidRPr="00B54A75">
              <w:rPr>
                <w:rFonts w:ascii="Calibri" w:eastAsia="Times New Roman" w:hAnsi="Calibri" w:cs="Calibri"/>
                <w:color w:val="000000"/>
                <w:sz w:val="20"/>
                <w:szCs w:val="20"/>
                <w:lang w:eastAsia="en-AU"/>
              </w:rPr>
              <w:t xml:space="preserve">or </w:t>
            </w:r>
            <w:r w:rsidRPr="00B54A75">
              <w:rPr>
                <w:rFonts w:ascii="Calibri" w:eastAsia="Times New Roman" w:hAnsi="Calibri" w:cs="Calibri"/>
                <w:color w:val="000000"/>
                <w:sz w:val="20"/>
                <w:szCs w:val="20"/>
                <w:u w:val="single"/>
                <w:lang w:eastAsia="en-AU"/>
              </w:rPr>
              <w:t>folate</w:t>
            </w:r>
            <w:r w:rsidRPr="00B54A75">
              <w:rPr>
                <w:rFonts w:ascii="Calibri" w:eastAsia="Times New Roman" w:hAnsi="Calibri" w:cs="Calibri"/>
                <w:color w:val="000000"/>
                <w:sz w:val="20"/>
                <w:szCs w:val="20"/>
                <w:lang w:eastAsia="en-AU"/>
              </w:rPr>
              <w:t xml:space="preserve"> were not associated with cerebral structure </w:t>
            </w:r>
          </w:p>
        </w:tc>
      </w:tr>
      <w:tr w:rsidR="008251F9" w:rsidRPr="00B54A75" w:rsidTr="00222F25">
        <w:trPr>
          <w:trHeight w:val="915"/>
        </w:trPr>
        <w:tc>
          <w:tcPr>
            <w:tcW w:w="1840" w:type="dxa"/>
            <w:tcBorders>
              <w:top w:val="nil"/>
              <w:left w:val="nil"/>
              <w:bottom w:val="nil"/>
              <w:right w:val="nil"/>
            </w:tcBorders>
            <w:shd w:val="clear" w:color="000000" w:fill="D9D9D9"/>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Ford et al.</w:t>
            </w:r>
            <w:r w:rsidR="00083999"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"10.1371/journal.pone.0033345", "ISSN" : "1932-6203", "PMID" : "22413017", "abstract" : "BACKGROUND: Elevated total plasma homocysteine (tHcy) has been associated with cognitive impairment, vascular disease and brain atrophy. METHODS: We investigated 150 volunteers to determine if the association between high tHcy and cerebral grey matter volume and cognitive function is independent of cardiovascular disease. RESULTS: Participants with high tHcy (\u226515 \u00b5mol/L) showed a widespread relative loss of grey matter compared with people with normal tHcy, although differences between the groups were minimal once the analyses were adjusted for age, gender, diabetes, hypertension, smoking and prevalent cardiovascular disease. Individuals with high tHcy had worse cognitive scores across a range of domains and less total grey matter volume, although these differences were not significant in the adjusted models. CONCLUSIONS: Our results suggest that the association between high tHcy and loss of cerebral grey matter volume and decline in cognitive function is largely explained by increasing age and cardiovascular diseases and indicate that the relationship is not causal.", "author" : [ { "dropping-particle" : "", "family" : "Ford", "given" : "Andrew H", "non-dropping-particle" : "", "parse-names" : false, "suffix" : "" }, { "dropping-particle" : "", "family" : "Garrido", "given" : "Griselda J", "non-dropping-particle" : "", "parse-names" : false, "suffix" : "" }, { "dropping-particle" : "", "family" : "Beer", "given" : "Christopher", "non-dropping-particle" : "", "parse-names" : false, "suffix" : "" }, { "dropping-particle" : "", "family" : "Lautenschlager", "given" : "Nicola T", "non-dropping-particle" : "", "parse-names" : false, "suffix" : "" }, { "dropping-particle" : "", "family" : "Arnolda", "given" : "Leonard", "non-dropping-particle" : "", "parse-names" : false, "suffix" : "" }, { "dropping-particle" : "", "family" : "Flicker", "given" : "Leon", "non-dropping-particle" : "", "parse-names" : false, "suffix" : "" }, { "dropping-particle" : "", "family" : "Almeida", "given" : "Osvaldo P", "non-dropping-particle" : "", "parse-names" : false, "suffix" : "" } ], "container-title" : "PloS one", "id" : "ITEM-1", "issue" : "3", "issued" : { "date-parts" : [ [ "2012", "1" ] ] }, "page" : "e33345", "title" : "Homocysteine, grey matter and cognitive function in adults with cardiovascular disease", "type" : "article-journal", "volume" : "7" }, "uris" : [ "http://www.mendeley.com/documents/?uuid=fc6d2173-bea7-44fe-bc96-5736b0d47f6a" ] } ], "mendeley" : { "formattedCitation" : "&lt;sup&gt;(7)&lt;/sup&gt;", "plainTextFormattedCitation" : "(7)", "previouslyFormattedCitation" : "&lt;sup&gt;(7)&lt;/sup&gt;" }, "properties" : { "noteIndex" : 0 }, "schema" : "https://github.com/citation-style-language/schema/raw/master/csl-citation.json" }</w:instrText>
            </w:r>
            <w:r w:rsidR="00083999"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(7)</w:t>
            </w:r>
            <w:r w:rsidR="00083999"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000000" w:fill="D9D9D9"/>
            <w:vAlign w:val="bottom"/>
            <w:hideMark/>
          </w:tcPr>
          <w:p w:rsidR="00112011" w:rsidRPr="00B54A75" w:rsidRDefault="002C1387" w:rsidP="002C1387">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106 (</w:t>
            </w:r>
            <w:proofErr w:type="spellStart"/>
            <w:r w:rsidRPr="00B54A75">
              <w:rPr>
                <w:rFonts w:ascii="Calibri" w:eastAsia="Times New Roman" w:hAnsi="Calibri" w:cs="Calibri"/>
                <w:color w:val="000000"/>
                <w:sz w:val="20"/>
                <w:szCs w:val="20"/>
                <w:lang w:eastAsia="en-AU"/>
              </w:rPr>
              <w:t>HHcY</w:t>
            </w:r>
            <w:proofErr w:type="spellEnd"/>
            <w:r w:rsidRPr="00B54A75">
              <w:rPr>
                <w:rFonts w:ascii="Calibri" w:eastAsia="Times New Roman" w:hAnsi="Calibri" w:cs="Calibri"/>
                <w:color w:val="000000"/>
                <w:sz w:val="20"/>
                <w:szCs w:val="20"/>
                <w:lang w:eastAsia="en-AU"/>
              </w:rPr>
              <w:t>)</w:t>
            </w:r>
            <w:r w:rsidRPr="00B54A75">
              <w:rPr>
                <w:rFonts w:ascii="Calibri" w:eastAsia="Times New Roman" w:hAnsi="Calibri" w:cs="Calibri"/>
                <w:color w:val="000000"/>
                <w:sz w:val="20"/>
                <w:szCs w:val="20"/>
                <w:lang w:eastAsia="en-AU"/>
              </w:rPr>
              <w:br/>
              <w:t>49 (</w:t>
            </w:r>
            <w:proofErr w:type="spellStart"/>
            <w:r w:rsidRPr="00B54A75">
              <w:rPr>
                <w:rFonts w:ascii="Calibri" w:eastAsia="Times New Roman" w:hAnsi="Calibri" w:cs="Calibri"/>
                <w:color w:val="000000"/>
                <w:sz w:val="20"/>
                <w:szCs w:val="20"/>
                <w:lang w:eastAsia="en-AU"/>
              </w:rPr>
              <w:t>LHcY</w:t>
            </w:r>
            <w:proofErr w:type="spellEnd"/>
            <w:r w:rsidRPr="00B54A75">
              <w:rPr>
                <w:rFonts w:ascii="Calibri" w:eastAsia="Times New Roman" w:hAnsi="Calibri" w:cs="Calibri"/>
                <w:color w:val="000000"/>
                <w:sz w:val="20"/>
                <w:szCs w:val="20"/>
                <w:lang w:eastAsia="en-AU"/>
              </w:rPr>
              <w:t>)</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46.0 - 85.0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65.50 (</w:t>
            </w:r>
            <w:proofErr w:type="spellStart"/>
            <w:r w:rsidRPr="00B54A75">
              <w:rPr>
                <w:rFonts w:ascii="Calibri" w:eastAsia="Times New Roman" w:hAnsi="Calibri" w:cs="Calibri"/>
                <w:color w:val="000000"/>
                <w:sz w:val="20"/>
                <w:szCs w:val="20"/>
                <w:lang w:eastAsia="en-AU"/>
              </w:rPr>
              <w:t>HHcY</w:t>
            </w:r>
            <w:proofErr w:type="spellEnd"/>
            <w:r w:rsidRPr="00B54A75">
              <w:rPr>
                <w:rFonts w:ascii="Calibri" w:eastAsia="Times New Roman" w:hAnsi="Calibri" w:cs="Calibri"/>
                <w:color w:val="000000"/>
                <w:sz w:val="20"/>
                <w:szCs w:val="20"/>
                <w:lang w:eastAsia="en-AU"/>
              </w:rPr>
              <w:t>) 73.70 (</w:t>
            </w:r>
            <w:proofErr w:type="spellStart"/>
            <w:r w:rsidRPr="00B54A75">
              <w:rPr>
                <w:rFonts w:ascii="Calibri" w:eastAsia="Times New Roman" w:hAnsi="Calibri" w:cs="Calibri"/>
                <w:color w:val="000000"/>
                <w:sz w:val="20"/>
                <w:szCs w:val="20"/>
                <w:lang w:eastAsia="en-AU"/>
              </w:rPr>
              <w:t>LHcY</w:t>
            </w:r>
            <w:proofErr w:type="spellEnd"/>
            <w:r w:rsidRPr="00B54A75">
              <w:rPr>
                <w:rFonts w:ascii="Calibri" w:eastAsia="Times New Roman" w:hAnsi="Calibri" w:cs="Calibri"/>
                <w:color w:val="000000"/>
                <w:sz w:val="20"/>
                <w:szCs w:val="20"/>
                <w:lang w:eastAsia="en-AU"/>
              </w:rPr>
              <w:t>)</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10.10 (</w:t>
            </w:r>
            <w:proofErr w:type="spellStart"/>
            <w:r w:rsidRPr="00B54A75">
              <w:rPr>
                <w:rFonts w:ascii="Calibri" w:eastAsia="Times New Roman" w:hAnsi="Calibri" w:cs="Calibri"/>
                <w:color w:val="000000"/>
                <w:sz w:val="20"/>
                <w:szCs w:val="20"/>
                <w:lang w:eastAsia="en-AU"/>
              </w:rPr>
              <w:t>HHcY</w:t>
            </w:r>
            <w:proofErr w:type="spellEnd"/>
            <w:r w:rsidRPr="00B54A75">
              <w:rPr>
                <w:rFonts w:ascii="Calibri" w:eastAsia="Times New Roman" w:hAnsi="Calibri" w:cs="Calibri"/>
                <w:color w:val="000000"/>
                <w:sz w:val="20"/>
                <w:szCs w:val="20"/>
                <w:lang w:eastAsia="en-AU"/>
              </w:rPr>
              <w:t>) 7.90 (</w:t>
            </w:r>
            <w:proofErr w:type="spellStart"/>
            <w:r w:rsidRPr="00B54A75">
              <w:rPr>
                <w:rFonts w:ascii="Calibri" w:eastAsia="Times New Roman" w:hAnsi="Calibri" w:cs="Calibri"/>
                <w:color w:val="000000"/>
                <w:sz w:val="20"/>
                <w:szCs w:val="20"/>
                <w:lang w:eastAsia="en-AU"/>
              </w:rPr>
              <w:t>LHcY</w:t>
            </w:r>
            <w:proofErr w:type="spellEnd"/>
            <w:r w:rsidRPr="00B54A75">
              <w:rPr>
                <w:rFonts w:ascii="Calibri" w:eastAsia="Times New Roman" w:hAnsi="Calibri" w:cs="Calibri"/>
                <w:color w:val="000000"/>
                <w:sz w:val="20"/>
                <w:szCs w:val="20"/>
                <w:lang w:eastAsia="en-AU"/>
              </w:rPr>
              <w:t>)</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b/>
                <w:bCs/>
                <w:color w:val="000000"/>
                <w:sz w:val="20"/>
                <w:szCs w:val="20"/>
                <w:lang w:eastAsia="en-AU"/>
              </w:rPr>
              <w:br/>
            </w:r>
            <w:proofErr w:type="spellStart"/>
            <w:r w:rsidRPr="00B54A75">
              <w:rPr>
                <w:rFonts w:ascii="Calibri" w:eastAsia="Times New Roman" w:hAnsi="Calibri" w:cs="Calibri"/>
                <w:color w:val="000000"/>
                <w:sz w:val="20"/>
                <w:szCs w:val="20"/>
                <w:u w:val="single"/>
                <w:lang w:eastAsia="en-AU"/>
              </w:rPr>
              <w:t>HHcY</w:t>
            </w:r>
            <w:proofErr w:type="spellEnd"/>
            <w:r w:rsidRPr="00B54A75">
              <w:rPr>
                <w:rFonts w:ascii="Calibri" w:eastAsia="Times New Roman" w:hAnsi="Calibri" w:cs="Calibri"/>
                <w:color w:val="000000"/>
                <w:sz w:val="20"/>
                <w:szCs w:val="20"/>
                <w:u w:val="single"/>
                <w:lang w:eastAsia="en-AU"/>
              </w:rPr>
              <w:t xml:space="preserve"> (≥15µmol/L)</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Cortical </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within small regions of FL, OL, &amp; </w:t>
            </w:r>
            <w:proofErr w:type="spellStart"/>
            <w:r w:rsidRPr="00B54A75">
              <w:rPr>
                <w:rFonts w:ascii="Calibri" w:eastAsia="Times New Roman" w:hAnsi="Calibri" w:cs="Calibri"/>
                <w:color w:val="000000"/>
                <w:sz w:val="20"/>
                <w:szCs w:val="20"/>
                <w:lang w:eastAsia="en-AU"/>
              </w:rPr>
              <w:t>CrB</w:t>
            </w:r>
            <w:proofErr w:type="spellEnd"/>
          </w:p>
        </w:tc>
      </w:tr>
      <w:tr w:rsidR="009321E8" w:rsidRPr="00B54A75" w:rsidTr="00222F25">
        <w:trPr>
          <w:trHeight w:val="930"/>
        </w:trPr>
        <w:tc>
          <w:tcPr>
            <w:tcW w:w="1840" w:type="dxa"/>
            <w:tcBorders>
              <w:top w:val="nil"/>
              <w:left w:val="nil"/>
              <w:bottom w:val="nil"/>
              <w:right w:val="nil"/>
            </w:tcBorders>
            <w:shd w:val="clear" w:color="auto" w:fill="auto"/>
            <w:vAlign w:val="bottom"/>
            <w:hideMark/>
          </w:tcPr>
          <w:p w:rsidR="00112011" w:rsidRPr="00B54A75" w:rsidRDefault="00A85A6A" w:rsidP="00083999">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Raz et al.</w:t>
            </w:r>
            <w:r w:rsidR="00083999"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"10.1016/j.bbadis.2011.08.007", "ISSN" : "0006-3002", "PMID" : "21889590", "abstract" : "Aging is associated with appearance of white matter hyperintensities (WMH) on MRI scans. Vascular risk and inflammation, which increase with age, may contribute to white matter deterioration and proliferation of WMH. We investigated whether circulating biomarkers and genetic variants associated with elevated vascular risk and inflammation are associated with WMH volume in healthy adults (144 volunteers, 44-77 years of age). We examined association of WMH volume with age, sex, hypertension, circulating levels of total plasma homocysteine (tHcy), cholesterol (low-density lipoprotein), and C-reactive protein (CRP), and four polymorphisms related to vascular risk and inflammation: Apolipoprotein \u03b5 (ApoE \u03b52,3,4), Angiotensin-Converting Enzyme insertion/deletion (ACE I/D), methylenetetrahydrofolate reductase (MTHFR) C677T, C-reactive protein (CRP)-286C&gt;A&gt;T, and interleukin-1\u03b2 (IL-1\u03b2) C-511T. We found that larger WMH volume was associated with advanced age, hypertension, and elevated levels of homocysteine and CRP but not with low-density lipoprotein levels. Homozygotes for IL-1\u03b2-511T allele and carriers of CRP-286T allele that are associated with increased inflammatory response had larger WMH than the other allelic combinations. Carriers of the APOE \u03b52 allele had larger frontal WMH than \u03b53 homozygotes and \u03b54 carriers did. Thus, in healthy adults, who are free of neurological and vascular disease, genetic variants that promote inflammation and elevated levels of vascular risk biomarkers can contribute to brain abnormalities. This article is part of a Special Issue entitled: Imaging Brain Aging and Neurodegenerative disease.", "author" : [ { "dropping-particle" : "", "family" : "Raz", "given" : "Naftali", "non-dropping-particle" : "", "parse-names" : false, "suffix" : "" }, { "dropping-particle" : "", "family" : "Yang", "given" : "Yiqin", "non-dropping-particle" : "", "parse-names" : false, "suffix" : "" }, { "dropping-particle" : "", "family" : "Dahle", "given" : "Cheryl L", "non-dropping-particle" : "", "parse-names" : false, "suffix" : "" }, { "dropping-particle" : "", "family" : "Land", "given" : "Susan", "non-dropping-particle" : "", "parse-names" : false, "suffix" : "" } ], "container-title" : "Biochimica et Biophysica Acta", "id" : "ITEM-1", "issue" : "3", "issued" : { "date-parts" : [ [ "2012", "3" ] ] }, "page" : "361-369", "title" : "Volume of white matter hyperintensities in healthy adults: contribution of age, vascular risk factors, and inflammation-related genetic variants", "type" : "article-journal", "volume" : "1822" }, "uris" : [ "http://www.mendeley.com/documents/?uuid=1df162e0-aa25-4243-9b6d-de3f6330a41d" ] } ], "mendeley" : { "formattedCitation" : "&lt;sup&gt;(8)&lt;/sup&gt;", "plainTextFormattedCitation" : "(8)", "previouslyFormattedCitation" : "&lt;sup&gt;(8)&lt;/sup&gt;" }, "properties" : { "noteIndex" : 0 }, "schema" : "https://github.com/citation-style-language/schema/raw/master/csl-citation.json" }</w:instrText>
            </w:r>
            <w:r w:rsidR="00083999"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(8)</w:t>
            </w:r>
            <w:r w:rsidR="00083999"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144</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44.0 - 77.0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58.89</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9.09</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Total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interacted with age to predict:</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WMHv</w:t>
            </w:r>
            <w:proofErr w:type="spellEnd"/>
            <w:r w:rsidRPr="00B54A75">
              <w:rPr>
                <w:rFonts w:ascii="Calibri" w:eastAsia="Times New Roman" w:hAnsi="Calibri" w:cs="Calibri"/>
                <w:color w:val="000000"/>
                <w:sz w:val="20"/>
                <w:szCs w:val="20"/>
                <w:lang w:eastAsia="en-AU"/>
              </w:rPr>
              <w:t xml:space="preserve"> within </w:t>
            </w:r>
            <w:r w:rsidRPr="00B54A75">
              <w:rPr>
                <w:rFonts w:ascii="Calibri" w:eastAsia="Times New Roman" w:hAnsi="Calibri" w:cs="Calibri"/>
                <w:iCs/>
                <w:color w:val="000000"/>
                <w:sz w:val="20"/>
                <w:szCs w:val="20"/>
                <w:lang w:eastAsia="en-AU"/>
              </w:rPr>
              <w:t xml:space="preserve">FL, PL, &amp; TL (older adults with↑ </w:t>
            </w:r>
            <w:proofErr w:type="spellStart"/>
            <w:r w:rsidRPr="00B54A75">
              <w:rPr>
                <w:rFonts w:ascii="Calibri" w:eastAsia="Times New Roman" w:hAnsi="Calibri" w:cs="Calibri"/>
                <w:iCs/>
                <w:color w:val="000000"/>
                <w:sz w:val="20"/>
                <w:szCs w:val="20"/>
                <w:lang w:eastAsia="en-AU"/>
              </w:rPr>
              <w:t>HcY</w:t>
            </w:r>
            <w:proofErr w:type="spellEnd"/>
            <w:r w:rsidRPr="00B54A75">
              <w:rPr>
                <w:rFonts w:ascii="Calibri" w:eastAsia="Times New Roman" w:hAnsi="Calibri" w:cs="Calibri"/>
                <w:iCs/>
                <w:color w:val="000000"/>
                <w:sz w:val="20"/>
                <w:szCs w:val="20"/>
                <w:lang w:eastAsia="en-AU"/>
              </w:rPr>
              <w:t>)</w:t>
            </w:r>
            <w:r w:rsidRPr="00B54A75">
              <w:rPr>
                <w:rFonts w:ascii="Calibri" w:eastAsia="Times New Roman" w:hAnsi="Calibri" w:cs="Calibri"/>
                <w:color w:val="000000"/>
                <w:sz w:val="20"/>
                <w:szCs w:val="20"/>
                <w:lang w:eastAsia="en-AU"/>
              </w:rPr>
              <w:t xml:space="preserve"> </w:t>
            </w:r>
          </w:p>
        </w:tc>
      </w:tr>
      <w:tr w:rsidR="008251F9" w:rsidRPr="00B54A75" w:rsidTr="00222F25">
        <w:trPr>
          <w:trHeight w:val="1440"/>
        </w:trPr>
        <w:tc>
          <w:tcPr>
            <w:tcW w:w="1840" w:type="dxa"/>
            <w:tcBorders>
              <w:top w:val="nil"/>
              <w:left w:val="nil"/>
              <w:bottom w:val="nil"/>
              <w:right w:val="nil"/>
            </w:tcBorders>
            <w:shd w:val="clear" w:color="000000" w:fill="D9D9D9"/>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Narayan et al.</w:t>
            </w:r>
            <w:r w:rsidR="00982877"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"10.1159/000328118", "ISSN" : "1421-9824", "PMID" : "21597295", "abstract" : "We determined using serial MR imaging whether raised plasma homocysteine levels are associated with increased brain atrophy, white matter lesion (WML) progression or incidence of silent brain infarcts (SBIs) in older hypertensive subjects. Brain atrophy rates (0.58 \u00b1 0.48% per year, mean \u00b1 SD) were significantly correlated with homocysteine (\u03b2 = 0.46, p = 0.001 homocysteine; \u03b2 = 0.44, p = 0.007 homocysteine/folate/B12 models) but not with folate or B12 levels. Progression of WML (0.08 \u00b1 0.16%) was not associated with homocysteine level (B = 0.01, p = 0.29). New SBIs were uncommon. In older hypertensive individuals, plasma homocysteine levels are associated with increased rates of whole-brain atrophy but not WML progression.", "author" : [ { "dropping-particle" : "", "family" : "Narayan", "given" : "Sunil K", "non-dropping-particle" : "", "parse-names" : false, "suffix" : "" }, { "dropping-particle" : "", "family" : "Firbank", "given" : "Michael J", "non-dropping-particle" : "", "parse-names" : false, "suffix" : "" }, { "dropping-particle" : "", "family" : "Saxby", "given" : "Brian K", "non-dropping-particle" : "", "parse-names" : false, "suffix" : "" }, { "dropping-particle" : "", "family" : "Stansby", "given" : "Gerard", "non-dropping-particle" : "", "parse-names" : false, "suffix" : "" }, { "dropping-particle" : "", "family" : "Hansrani", "given" : "Monica", "non-dropping-particle" : "", "parse-names" : false, "suffix" : "" }, { "dropping-particle" : "", "family" : "O'Brien", "given" : "John T", "non-dropping-particle" : "", "parse-names" : false, "suffix" : "" }, { "dropping-particle" : "", "family" : "Ford", "given" : "Gary a", "non-dropping-particle" : "", "parse-names" : false, "suffix" : "" } ], "container-title" : "Dementia and Geriatric Cognitive Disorders", "id" : "ITEM-1", "issued" : { "date-parts" : [ [ "2011", "1" ] ] }, "page" : "341-348", "title" : "Elevated plasma homocysteine is associated with increased brain atrophy rates in older subjects with mild hypertensio.", "type" : "article-journal", "volume" : "31" }, "uris" : [ "http://www.mendeley.com/documents/?uuid=7ba77843-2282-4822-97d5-a7d839c80e2f" ] } ], "mendeley" : { "formattedCitation" : "&lt;sup&gt;(9)&lt;/sup&gt;", "plainTextFormattedCitation" : "(9)", "previouslyFormattedCitation" : "&lt;sup&gt;(9)&lt;/sup&gt;" }, "properties" : { "noteIndex" : 0 }, "schema" : "https://github.com/citation-style-language/schema/raw/master/csl-citation.json" }</w:instrText>
            </w:r>
            <w:r w:rsidR="00982877"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(9)</w:t>
            </w:r>
            <w:r w:rsidR="00982877"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AC73C6"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VIT-</w:t>
            </w:r>
            <w:r w:rsidR="00112011" w:rsidRPr="00B54A75">
              <w:rPr>
                <w:rFonts w:ascii="Calibri" w:eastAsia="Times New Roman" w:hAnsi="Calibri" w:cs="Calibri"/>
                <w:color w:val="000000"/>
                <w:sz w:val="20"/>
                <w:szCs w:val="20"/>
                <w:lang w:eastAsia="en-AU"/>
              </w:rPr>
              <w:t>B</w:t>
            </w:r>
            <w:r w:rsidR="00112011" w:rsidRPr="00B54A75">
              <w:rPr>
                <w:rFonts w:ascii="Calibri" w:eastAsia="Times New Roman" w:hAnsi="Calibri" w:cs="Calibri"/>
                <w:color w:val="000000"/>
                <w:sz w:val="20"/>
                <w:szCs w:val="20"/>
                <w:vertAlign w:val="subscript"/>
                <w:lang w:eastAsia="en-AU"/>
              </w:rPr>
              <w:t>12</w:t>
            </w:r>
            <w:r w:rsidR="00E53F88" w:rsidRPr="00B54A75">
              <w:rPr>
                <w:rFonts w:ascii="Calibri" w:eastAsia="Times New Roman" w:hAnsi="Calibri" w:cs="Calibri"/>
                <w:color w:val="000000"/>
                <w:sz w:val="20"/>
                <w:szCs w:val="20"/>
                <w:lang w:eastAsia="en-AU"/>
              </w:rPr>
              <w:t>, Folate,</w:t>
            </w:r>
            <w:r w:rsidR="00112011" w:rsidRPr="00B54A75">
              <w:rPr>
                <w:rFonts w:ascii="Calibri" w:eastAsia="Times New Roman" w:hAnsi="Calibri" w:cs="Calibri"/>
                <w:color w:val="000000"/>
                <w:sz w:val="20"/>
                <w:szCs w:val="20"/>
                <w:lang w:eastAsia="en-AU"/>
              </w:rPr>
              <w:t xml:space="preserve"> &amp; </w:t>
            </w:r>
            <w:proofErr w:type="spellStart"/>
            <w:r w:rsidR="00112011"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70</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74.0 - 91.0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79.0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3.50</w:t>
            </w:r>
          </w:p>
        </w:tc>
        <w:tc>
          <w:tcPr>
            <w:tcW w:w="5760" w:type="dxa"/>
            <w:tcBorders>
              <w:top w:val="nil"/>
              <w:left w:val="nil"/>
              <w:bottom w:val="nil"/>
              <w:right w:val="nil"/>
            </w:tcBorders>
            <w:shd w:val="clear" w:color="000000" w:fill="D9D9D9"/>
            <w:vAlign w:val="bottom"/>
            <w:hideMark/>
          </w:tcPr>
          <w:p w:rsidR="00112011" w:rsidRPr="00B54A75" w:rsidRDefault="00112011" w:rsidP="00E53F88">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Longitudinal (MRI; 2 years)</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u w:val="single"/>
                <w:lang w:eastAsia="en-AU"/>
              </w:rPr>
              <w:t xml:space="preserve"> </w:t>
            </w:r>
            <w:r w:rsidRPr="00B54A75">
              <w:rPr>
                <w:rFonts w:ascii="Calibri" w:eastAsia="Times New Roman" w:hAnsi="Calibri" w:cs="Calibri"/>
                <w:color w:val="000000"/>
                <w:sz w:val="20"/>
                <w:szCs w:val="20"/>
                <w:lang w:eastAsia="en-AU"/>
              </w:rPr>
              <w:t>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TCar</w:t>
            </w:r>
            <w:proofErr w:type="spellEnd"/>
            <w:r w:rsidRPr="00B54A75">
              <w:rPr>
                <w:rFonts w:ascii="Calibri" w:eastAsia="Times New Roman" w:hAnsi="Calibri" w:cs="Calibri"/>
                <w:color w:val="000000"/>
                <w:sz w:val="20"/>
                <w:szCs w:val="20"/>
                <w:lang w:eastAsia="en-AU"/>
              </w:rPr>
              <w:br/>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was not associated with WML progression </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VIT-B</w:t>
            </w:r>
            <w:r w:rsidRPr="00B54A75">
              <w:rPr>
                <w:rFonts w:ascii="Calibri" w:eastAsia="Times New Roman" w:hAnsi="Calibri" w:cs="Calibri"/>
                <w:color w:val="000000"/>
                <w:sz w:val="20"/>
                <w:szCs w:val="20"/>
                <w:u w:val="single"/>
                <w:vertAlign w:val="subscript"/>
                <w:lang w:eastAsia="en-AU"/>
              </w:rPr>
              <w:t>12</w:t>
            </w:r>
            <w:r w:rsidR="00E53F88" w:rsidRPr="00B54A75">
              <w:rPr>
                <w:rFonts w:ascii="Calibri" w:eastAsia="Times New Roman" w:hAnsi="Calibri" w:cs="Calibri"/>
                <w:color w:val="000000"/>
                <w:sz w:val="20"/>
                <w:szCs w:val="20"/>
                <w:vertAlign w:val="subscript"/>
                <w:lang w:eastAsia="en-AU"/>
              </w:rPr>
              <w:t xml:space="preserve"> </w:t>
            </w:r>
            <w:r w:rsidR="00E53F88" w:rsidRPr="00B54A75">
              <w:rPr>
                <w:rFonts w:ascii="Calibri" w:eastAsia="Times New Roman" w:hAnsi="Calibri" w:cs="Calibri"/>
                <w:color w:val="000000"/>
                <w:sz w:val="20"/>
                <w:szCs w:val="20"/>
                <w:lang w:eastAsia="en-AU"/>
              </w:rPr>
              <w:t xml:space="preserve">or </w:t>
            </w:r>
            <w:r w:rsidR="00E53F88" w:rsidRPr="00B54A75">
              <w:rPr>
                <w:rFonts w:ascii="Calibri" w:eastAsia="Times New Roman" w:hAnsi="Calibri" w:cs="Calibri"/>
                <w:color w:val="000000"/>
                <w:sz w:val="20"/>
                <w:szCs w:val="20"/>
                <w:u w:val="single"/>
                <w:lang w:eastAsia="en-AU"/>
              </w:rPr>
              <w:t>folate</w:t>
            </w:r>
            <w:r w:rsidRPr="00B54A75">
              <w:rPr>
                <w:rFonts w:ascii="Calibri" w:eastAsia="Times New Roman" w:hAnsi="Calibri" w:cs="Calibri"/>
                <w:color w:val="000000"/>
                <w:sz w:val="20"/>
                <w:szCs w:val="20"/>
                <w:lang w:eastAsia="en-AU"/>
              </w:rPr>
              <w:t xml:space="preserve"> were not associated with cerebral structure</w:t>
            </w:r>
          </w:p>
        </w:tc>
      </w:tr>
      <w:tr w:rsidR="009321E8" w:rsidRPr="00B54A75" w:rsidTr="00222F25">
        <w:trPr>
          <w:trHeight w:val="2145"/>
        </w:trPr>
        <w:tc>
          <w:tcPr>
            <w:tcW w:w="1840" w:type="dxa"/>
            <w:tcBorders>
              <w:top w:val="nil"/>
              <w:left w:val="nil"/>
              <w:bottom w:val="nil"/>
              <w:right w:val="nil"/>
            </w:tcBorders>
            <w:shd w:val="clear" w:color="auto" w:fill="auto"/>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Rajagopalan et al.</w:t>
            </w:r>
            <w:r w:rsidR="00982877"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"10.1097/WNR.0b013e328346bf85", "ISSN" : "1473-558X", "PMID" : "21512418", "abstract" : "Elevated homocysteine levels are a known risk factor for Alzheimer's disease and vascular disorders. Here we applied tensor-based morphometry to brain magnetic resonance imaging scans of 732 elderly individuals from the Alzheimer's Disease Neuroimaging Initiative study, to determine associations between homocysteine and brain atrophy. Those with higher homocysteine levels showed greater frontal, parietal, and occipital white matter atrophy in the entire cohort, irrespective of diagnosis, age, or sex. This association was also found when considering mild cognitive impairment individuals separately. Vitamin B supplements, such as folate, may help prevent homocysteine-related atrophy in Alzheimer's disease by possibly reducing homocysteine levels. These atrophy profiles may, in the future, offer a potential biomarker to gauge the efficacy of interventions using dietary folate supplementation.", "author" : [ { "dropping-particle" : "", "family" : "Rajagopalan", "given" : "Priya", "non-dropping-particle" : "", "parse-names" : false, "suffix" : "" }, { "dropping-particle" : "", "family" : "Hua", "given" : "Xue", "non-dropping-particle" : "", "parse-names" : false, "suffix" : "" }, { "dropping-particle" : "", "family" : "Toga", "given" : "Arthur W", "non-dropping-particle" : "", "parse-names" : false, "suffix" : "" }, { "dropping-particle" : "", "family" : "Jack", "given" : "Clifford R", "non-dropping-particle" : "", "parse-names" : false, "suffix" : "" }, { "dropping-particle" : "", "family" : "Weiner", "given" : "Michael W", "non-dropping-particle" : "", "parse-names" : false, "suffix" : "" }, { "dropping-particle" : "", "family" : "Thompson", "given" : "Paul M", "non-dropping-particle" : "", "parse-names" : false, "suffix" : "" } ], "container-title" : "NeuroReport", "id" : "ITEM-1", "issued" : { "date-parts" : [ [ "2011", "6", "11" ] ] }, "page" : "391-395", "title" : "Homocysteine effects on brain volumes mapped in 732 elderly individuals", "type" : "article-journal", "volume" : "22" }, "uris" : [ "http://www.mendeley.com/documents/?uuid=0a04e297-1ed9-4ec3-b713-d38fb043ae3a" ] } ], "mendeley" : { "formattedCitation" : "&lt;sup&gt;(10)&lt;/sup&gt;", "plainTextFormattedCitation" : "(10)", "previouslyFormattedCitation" : "&lt;sup&gt;(10)&lt;/sup&gt;" }, "properties" : { "noteIndex" : 0 }, "schema" : "https://github.com/citation-style-language/schema/raw/master/csl-citation.json" }</w:instrText>
            </w:r>
            <w:r w:rsidR="00982877"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(10)</w:t>
            </w:r>
            <w:r w:rsidR="00982877"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Mixed†</w:t>
            </w:r>
          </w:p>
        </w:tc>
        <w:tc>
          <w:tcPr>
            <w:tcW w:w="1274" w:type="dxa"/>
            <w:tcBorders>
              <w:top w:val="nil"/>
              <w:left w:val="nil"/>
              <w:bottom w:val="nil"/>
              <w:right w:val="nil"/>
            </w:tcBorders>
            <w:shd w:val="clear" w:color="auto" w:fill="auto"/>
            <w:vAlign w:val="bottom"/>
            <w:hideMark/>
          </w:tcPr>
          <w:p w:rsidR="00982877"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 xml:space="preserve">203 (CN) </w:t>
            </w:r>
          </w:p>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356 (MCI) 173 (AD)</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 xml:space="preserve">76.13 (CN) </w:t>
            </w:r>
            <w:r w:rsidRPr="00B54A75">
              <w:rPr>
                <w:rFonts w:ascii="Calibri" w:eastAsia="Times New Roman" w:hAnsi="Calibri" w:cs="Calibri"/>
                <w:color w:val="000000"/>
                <w:sz w:val="20"/>
                <w:szCs w:val="20"/>
                <w:lang w:eastAsia="en-AU"/>
              </w:rPr>
              <w:br/>
              <w:t>75.15 (MCI) 75.57 (AD)</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4.99 (</w:t>
            </w:r>
            <w:proofErr w:type="gramStart"/>
            <w:r w:rsidRPr="00B54A75">
              <w:rPr>
                <w:rFonts w:ascii="Calibri" w:eastAsia="Times New Roman" w:hAnsi="Calibri" w:cs="Calibri"/>
                <w:color w:val="000000"/>
                <w:sz w:val="20"/>
                <w:szCs w:val="20"/>
                <w:lang w:eastAsia="en-AU"/>
              </w:rPr>
              <w:t>CN)  7.26</w:t>
            </w:r>
            <w:proofErr w:type="gramEnd"/>
            <w:r w:rsidRPr="00B54A75">
              <w:rPr>
                <w:rFonts w:ascii="Calibri" w:eastAsia="Times New Roman" w:hAnsi="Calibri" w:cs="Calibri"/>
                <w:color w:val="000000"/>
                <w:sz w:val="20"/>
                <w:szCs w:val="20"/>
                <w:lang w:eastAsia="en-AU"/>
              </w:rPr>
              <w:t xml:space="preserve"> (MCI) 7.62 (AD)</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proofErr w:type="gram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u w:val="single"/>
                <w:lang w:eastAsia="en-AU"/>
              </w:rPr>
              <w:t xml:space="preserve"> </w:t>
            </w:r>
            <w:r w:rsidRPr="00B54A75">
              <w:rPr>
                <w:rFonts w:ascii="Calibri" w:eastAsia="Times New Roman" w:hAnsi="Calibri" w:cs="Calibri"/>
                <w:color w:val="000000"/>
                <w:sz w:val="20"/>
                <w:szCs w:val="20"/>
                <w:lang w:eastAsia="en-AU"/>
              </w:rPr>
              <w:t xml:space="preserve"> was</w:t>
            </w:r>
            <w:proofErr w:type="gramEnd"/>
            <w:r w:rsidRPr="00B54A75">
              <w:rPr>
                <w:rFonts w:ascii="Calibri" w:eastAsia="Times New Roman" w:hAnsi="Calibri" w:cs="Calibri"/>
                <w:color w:val="000000"/>
                <w:sz w:val="20"/>
                <w:szCs w:val="20"/>
                <w:lang w:eastAsia="en-AU"/>
              </w:rPr>
              <w:t xml:space="preserve">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WMv</w:t>
            </w:r>
            <w:proofErr w:type="spellEnd"/>
            <w:r w:rsidRPr="00B54A75">
              <w:rPr>
                <w:rFonts w:ascii="Calibri" w:eastAsia="Times New Roman" w:hAnsi="Calibri" w:cs="Calibri"/>
                <w:color w:val="000000"/>
                <w:sz w:val="20"/>
                <w:szCs w:val="20"/>
                <w:lang w:eastAsia="en-AU"/>
              </w:rPr>
              <w:t xml:space="preserve"> within</w:t>
            </w:r>
            <w:r w:rsidRPr="00B54A75">
              <w:rPr>
                <w:rFonts w:ascii="Calibri" w:eastAsia="Times New Roman" w:hAnsi="Calibri" w:cs="Calibri"/>
                <w:iCs/>
                <w:color w:val="000000"/>
                <w:sz w:val="20"/>
                <w:szCs w:val="20"/>
                <w:lang w:eastAsia="en-AU"/>
              </w:rPr>
              <w:t xml:space="preserve"> </w:t>
            </w:r>
            <w:r w:rsidRPr="00B54A75">
              <w:rPr>
                <w:rFonts w:ascii="Calibri" w:eastAsia="Times New Roman" w:hAnsi="Calibri" w:cs="Calibri"/>
                <w:color w:val="000000"/>
                <w:sz w:val="20"/>
                <w:szCs w:val="20"/>
                <w:lang w:eastAsia="en-AU"/>
              </w:rPr>
              <w:t>FL, PL, &amp; OL</w:t>
            </w:r>
            <w:r w:rsidRPr="00B54A75">
              <w:rPr>
                <w:rFonts w:ascii="Calibri" w:eastAsia="Times New Roman" w:hAnsi="Calibri" w:cs="Calibri"/>
                <w:iCs/>
                <w:color w:val="000000"/>
                <w:sz w:val="20"/>
                <w:szCs w:val="20"/>
                <w:lang w:eastAsia="en-AU"/>
              </w:rPr>
              <w:br/>
            </w:r>
            <w:r w:rsidRPr="00B54A75">
              <w:rPr>
                <w:rFonts w:ascii="Calibri" w:eastAsia="Times New Roman" w:hAnsi="Calibri" w:cs="Calibri"/>
                <w:color w:val="000000"/>
                <w:sz w:val="20"/>
                <w:szCs w:val="20"/>
                <w:lang w:eastAsia="en-AU"/>
              </w:rPr>
              <w:t>Significant associations were observed in whole sample, but only in MCI during subgroup analysis</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lang w:eastAsia="en-AU"/>
              </w:rPr>
              <w:br/>
            </w:r>
            <w:proofErr w:type="spellStart"/>
            <w:r w:rsidRPr="00B54A75">
              <w:rPr>
                <w:rFonts w:ascii="Calibri" w:eastAsia="Times New Roman" w:hAnsi="Calibri" w:cs="Calibri"/>
                <w:color w:val="000000"/>
                <w:sz w:val="20"/>
                <w:szCs w:val="20"/>
                <w:u w:val="single"/>
                <w:lang w:eastAsia="en-AU"/>
              </w:rPr>
              <w:t>Hyperhomocysteinemia</w:t>
            </w:r>
            <w:proofErr w:type="spellEnd"/>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u w:val="single"/>
                <w:lang w:eastAsia="en-AU"/>
              </w:rPr>
              <w:t xml:space="preserve"> ≥ 14.0 µM/L)</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WMv</w:t>
            </w:r>
            <w:proofErr w:type="spellEnd"/>
            <w:r w:rsidRPr="00B54A75">
              <w:rPr>
                <w:rFonts w:ascii="Calibri" w:eastAsia="Times New Roman" w:hAnsi="Calibri" w:cs="Calibri"/>
                <w:color w:val="000000"/>
                <w:sz w:val="20"/>
                <w:szCs w:val="20"/>
                <w:lang w:eastAsia="en-AU"/>
              </w:rPr>
              <w:t xml:space="preserve"> within FL &amp; PL</w:t>
            </w:r>
          </w:p>
        </w:tc>
      </w:tr>
      <w:tr w:rsidR="008251F9" w:rsidRPr="00B54A75" w:rsidTr="00222F25">
        <w:trPr>
          <w:trHeight w:val="2130"/>
        </w:trPr>
        <w:tc>
          <w:tcPr>
            <w:tcW w:w="1840" w:type="dxa"/>
            <w:tcBorders>
              <w:top w:val="nil"/>
              <w:left w:val="nil"/>
              <w:bottom w:val="nil"/>
              <w:right w:val="nil"/>
            </w:tcBorders>
            <w:shd w:val="clear" w:color="000000" w:fill="D9D9D9"/>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Tangney et al.</w:t>
            </w:r>
            <w:r w:rsidR="00A9387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"10.1212/WNL.0b013e3182315a33", "ISSN" : "1526-632X", "PMID" : "21947532", "abstract" : "OBJECTIVE: To investigate the interrelations of serum vitamin B12 markers with brain volumes, cerebral infarcts, and performance in different cognitive domains in a biracial population sample cross-sectionally. METHODS: In 121 community-dwelling participants of the Chicago Health and Aging Project, serum markers of vitamin B12 status were related to summary measures of neuropsychological tests of 5 cognitive domains and brain MRI measures obtained on average 4.6 years later among 121 older adults. RESULTS: Concentrations of all vitamin B12-related markers, but not serum vitamin B12 itself, were associated with global cognitive function and with total brain volume. Methylmalonate levels were associated with poorer episodic memory and perceptual speed, and cystathionine and 2-methylcitrate with poorer episodic and semantic memory. Homocysteine concentrations were associated with decreased total brain volume. The homocysteine-global cognition effect was modified and no longer statistically significant with adjustment for white matter volume or cerebral infarcts. The methylmalonate-global cognition effect was modified and no longer significant with adjustment for total brain volume. CONCLUSIONS: Methylmalonate, a specific marker of B12 deficiency, may affect cognition by reducing total brain volume whereas the effect of homocysteine (nonspecific to vitamin B12 deficiency) on cognitive performance may be mediated through increased white matter hyperintensity and cerebral infarcts. Vitamin B12 status may affect the brain through multiple mechanisms.", "author" : [ { "dropping-particle" : "", "family" : "Tangney", "given" : "C C", "non-dropping-particle" : "", "parse-names" : false, "suffix" : "" }, { "dropping-particle" : "", "family" : "Aggarwal", "given" : "N T", "non-dropping-particle" : "", "parse-names" : false, "suffix" : "" }, { "dropping-particle" : "", "family" : "Li", "given" : "H", "non-dropping-particle" : "", "parse-names" : false, "suffix" : "" }, { "dropping-particle" : "", "family" : "Wilson", "given" : "R S", "non-dropping-particle" : "", "parse-names" : false, "suffix" : "" }, { "dropping-particle" : "", "family" : "Decarli", "given" : "C", "non-dropping-particle" : "", "parse-names" : false, "suffix" : "" }, { "dropping-particle" : "", "family" : "Evans", "given" : "D a", "non-dropping-particle" : "", "parse-names" : false, "suffix" : "" }, { "dropping-particle" : "", "family" : "Morris", "given" : "M C", "non-dropping-particle" : "", "parse-names" : false, "suffix" : "" } ], "container-title" : "Neurology", "id" : "ITEM-1", "issued" : { "date-parts" : [ [ "2011", "9", "27" ] ] }, "page" : "1276-1282", "title" : "Vitamin B12, cognition, and brain MRI measures: a cross-sectional examination.", "type" : "article-journal", "volume" : "77" }, "uris" : [ "http://www.mendeley.com/documents/?uuid=9284c90c-ee43-4611-aa7f-1be264923276" ] } ], "mendeley" : { "formattedCitation" : "&lt;sup&gt;(11)&lt;/sup&gt;", "plainTextFormattedCitation" : "(11)", "previouslyFormattedCitation" : "&lt;sup&gt;(11)&lt;/sup&gt;" }, "properties" : { "noteIndex" : 0 }, "schema" : "https://github.com/citation-style-language/schema/raw/master/csl-citation.json" }</w:instrText>
            </w:r>
            <w:r w:rsidR="00A93878"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(11)</w:t>
            </w:r>
            <w:r w:rsidR="00A9387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VIT-B</w:t>
            </w:r>
            <w:r w:rsidRPr="00B54A75">
              <w:rPr>
                <w:rFonts w:ascii="Calibri" w:eastAsia="Times New Roman" w:hAnsi="Calibri" w:cs="Calibri"/>
                <w:color w:val="000000"/>
                <w:sz w:val="20"/>
                <w:szCs w:val="20"/>
                <w:vertAlign w:val="subscript"/>
                <w:lang w:eastAsia="en-AU"/>
              </w:rPr>
              <w:t>12</w:t>
            </w:r>
            <w:r w:rsidRPr="00B54A75">
              <w:rPr>
                <w:rFonts w:ascii="Calibri" w:eastAsia="Times New Roman" w:hAnsi="Calibri" w:cs="Calibri"/>
                <w:color w:val="000000"/>
                <w:sz w:val="20"/>
                <w:szCs w:val="20"/>
                <w:lang w:eastAsia="en-AU"/>
              </w:rPr>
              <w:t xml:space="preserve">, MMA &amp; </w:t>
            </w: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Mixed‡</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121</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78.70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5.70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b/>
                <w:bCs/>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u w:val="single"/>
                <w:lang w:eastAsia="en-AU"/>
              </w:rPr>
              <w:br/>
            </w:r>
            <w:r w:rsidRPr="00B54A75">
              <w:rPr>
                <w:rFonts w:ascii="Calibri" w:eastAsia="Times New Roman" w:hAnsi="Calibri" w:cs="Calibri"/>
                <w:color w:val="000000"/>
                <w:sz w:val="20"/>
                <w:szCs w:val="20"/>
                <w:lang w:eastAsia="en-AU"/>
              </w:rP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t xml:space="preserve">           </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WMHv</w:t>
            </w:r>
            <w:proofErr w:type="spellEnd"/>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MMA</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br/>
              <w:t xml:space="preserve">All associations remained significant following adjustment for dementia diagnosis </w:t>
            </w:r>
          </w:p>
        </w:tc>
      </w:tr>
      <w:tr w:rsidR="009321E8" w:rsidRPr="00B54A75" w:rsidTr="00B54A75">
        <w:trPr>
          <w:trHeight w:val="2482"/>
        </w:trPr>
        <w:tc>
          <w:tcPr>
            <w:tcW w:w="1840" w:type="dxa"/>
            <w:tcBorders>
              <w:top w:val="nil"/>
              <w:left w:val="nil"/>
              <w:bottom w:val="nil"/>
              <w:right w:val="nil"/>
            </w:tcBorders>
            <w:shd w:val="clear" w:color="auto" w:fill="auto"/>
            <w:vAlign w:val="bottom"/>
            <w:hideMark/>
          </w:tcPr>
          <w:p w:rsidR="00112011" w:rsidRPr="00B54A75" w:rsidRDefault="00A85A6A" w:rsidP="009321E8">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lastRenderedPageBreak/>
              <w:t>Firbank et al.</w:t>
            </w:r>
            <w:r w:rsidR="003114C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"10.1017/S1041610210000499", "ISSN" : "1741-203X", "PMID" : "20374668", "abstract" : "BACKGROUND: Plasma homocysteine has been associated with reduced brain volumes in cross-sectional studies. We aimed to investigate if homocysteine is associated with ongoing atrophy, and if so, if this is localized to gray or white matter. METHODS: In a group of 80 hypertensive subjects aged 70-90 years (from the SCOPE study) MRI images were obtained at two time points two years apart. Rates of gray and white matter and hippocampal atrophy were determined by calculating the difference in segmentation probability maps using SPM5. Plasma homocysteine, folate, B12 and creatinine were measured at study end. RESULTS: Homocysteine levels correlated with white matter atrophy rate (p = 0.006) hippocampal baseline volume (p = 0.011) and hippocampal atrophy rate (p = 0.004) but not global gray matter atrophy or baseline gray or white matter volumes. The correlations remained significant (p &lt; 0.05) after controlling for subject age, blood pressure, folate levels and white matter lesion volume. CONCLUSION: In older hypertensives, plasma homocysteine levels are associated with increased rates of progressive white matter and hippocampal atrophy.", "author" : [ { "dropping-particle" : "", "family" : "Firbank", "given" : "Michael J", "non-dropping-particle" : "", "parse-names" : false, "suffix" : "" }, { "dropping-particle" : "", "family" : "Narayan", "given" : "Sunil K", "non-dropping-particle" : "", "parse-names" : false, "suffix" : "" }, { "dropping-particle" : "", "family" : "Saxby", "given" : "Brian K", "non-dropping-particle" : "", "parse-names" : false, "suffix" : "" }, { "dropping-particle" : "", "family" : "Ford", "given" : "Gary a", "non-dropping-particle" : "", "parse-names" : false, "suffix" : "" }, { "dropping-particle" : "", "family" : "O'Brien", "given" : "John T", "non-dropping-particle" : "", "parse-names" : false, "suffix" : "" } ], "container-title" : "International Psychogeriatrics", "id" : "ITEM-1", "issued" : { "date-parts" : [ [ "2010", "8" ] ] }, "page" : "804-811", "title" : "Homocysteine is associated with hippocampal and white matter atrophy in older subjects with mild hypertension.", "type" : "article-journal", "volume" : "22" }, "uris" : [ "http://www.mendeley.com/documents/?uuid=fb7c82fb-7163-4b92-bfc2-5721d7ec0404" ] } ], "mendeley" : { "formattedCitation" : "&lt;sup&gt;(12)&lt;/sup&gt;", "plainTextFormattedCitation" : "(12)", "previouslyFormattedCitation" : "&lt;sup&gt;(12)&lt;/sup&gt;" }, "properties" : { "noteIndex" : 0 }, "schema" : "https://github.com/citation-style-language/schema/raw/master/csl-citation.json" }</w:instrText>
            </w:r>
            <w:r w:rsidR="003114C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(12)</w:t>
            </w:r>
            <w:r w:rsidR="003114C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AC73C6"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VIT-</w:t>
            </w:r>
            <w:r w:rsidR="00112011" w:rsidRPr="00B54A75">
              <w:rPr>
                <w:rFonts w:ascii="Calibri" w:eastAsia="Times New Roman" w:hAnsi="Calibri" w:cs="Calibri"/>
                <w:color w:val="000000"/>
                <w:sz w:val="20"/>
                <w:szCs w:val="20"/>
                <w:lang w:eastAsia="en-AU"/>
              </w:rPr>
              <w:t>B</w:t>
            </w:r>
            <w:r w:rsidR="00112011" w:rsidRPr="00B54A75">
              <w:rPr>
                <w:rFonts w:ascii="Calibri" w:eastAsia="Times New Roman" w:hAnsi="Calibri" w:cs="Calibri"/>
                <w:color w:val="000000"/>
                <w:sz w:val="20"/>
                <w:szCs w:val="20"/>
                <w:vertAlign w:val="subscript"/>
                <w:lang w:eastAsia="en-AU"/>
              </w:rPr>
              <w:t>12</w:t>
            </w:r>
            <w:r w:rsidR="00E53F88" w:rsidRPr="00B54A75">
              <w:rPr>
                <w:rFonts w:ascii="Calibri" w:eastAsia="Times New Roman" w:hAnsi="Calibri" w:cs="Calibri"/>
                <w:color w:val="000000"/>
                <w:sz w:val="20"/>
                <w:szCs w:val="20"/>
                <w:lang w:eastAsia="en-AU"/>
              </w:rPr>
              <w:t>, Folate,</w:t>
            </w:r>
            <w:r w:rsidR="00112011" w:rsidRPr="00B54A75">
              <w:rPr>
                <w:rFonts w:ascii="Calibri" w:eastAsia="Times New Roman" w:hAnsi="Calibri" w:cs="Calibri"/>
                <w:color w:val="000000"/>
                <w:sz w:val="20"/>
                <w:szCs w:val="20"/>
                <w:lang w:eastAsia="en-AU"/>
              </w:rPr>
              <w:t xml:space="preserve"> &amp; </w:t>
            </w:r>
            <w:proofErr w:type="spellStart"/>
            <w:r w:rsidR="00112011"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auto" w:fill="auto"/>
            <w:vAlign w:val="bottom"/>
            <w:hideMark/>
          </w:tcPr>
          <w:p w:rsidR="00112011" w:rsidRPr="00B54A75" w:rsidRDefault="002C1387" w:rsidP="0011201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80</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74.0 - 91.0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79.0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3.50</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proofErr w:type="gram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w:t>
            </w:r>
            <w:r w:rsidR="00AC73C6" w:rsidRPr="00B54A75">
              <w:rPr>
                <w:rFonts w:ascii="Calibri" w:eastAsia="Times New Roman" w:hAnsi="Calibri" w:cs="Calibri"/>
                <w:color w:val="000000"/>
                <w:sz w:val="20"/>
                <w:szCs w:val="20"/>
                <w:lang w:eastAsia="en-AU"/>
              </w:rPr>
              <w:t>as</w:t>
            </w:r>
            <w:proofErr w:type="gramEnd"/>
            <w:r w:rsidR="00AC73C6" w:rsidRPr="00B54A75">
              <w:rPr>
                <w:rFonts w:ascii="Calibri" w:eastAsia="Times New Roman" w:hAnsi="Calibri" w:cs="Calibri"/>
                <w:color w:val="000000"/>
                <w:sz w:val="20"/>
                <w:szCs w:val="20"/>
                <w:lang w:eastAsia="en-AU"/>
              </w:rPr>
              <w:t xml:space="preserve">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HCv</w:t>
            </w:r>
            <w:proofErr w:type="spellEnd"/>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VIT-B</w:t>
            </w:r>
            <w:r w:rsidRPr="00B54A75">
              <w:rPr>
                <w:rFonts w:ascii="Calibri" w:eastAsia="Times New Roman" w:hAnsi="Calibri" w:cs="Calibri"/>
                <w:color w:val="000000"/>
                <w:sz w:val="20"/>
                <w:szCs w:val="20"/>
                <w:u w:val="single"/>
                <w:vertAlign w:val="subscript"/>
                <w:lang w:eastAsia="en-AU"/>
              </w:rPr>
              <w:t>12</w:t>
            </w:r>
            <w:r w:rsidRPr="00B54A75">
              <w:rPr>
                <w:rFonts w:ascii="Calibri" w:eastAsia="Times New Roman" w:hAnsi="Calibri" w:cs="Calibri"/>
                <w:color w:val="000000"/>
                <w:sz w:val="20"/>
                <w:szCs w:val="20"/>
                <w:lang w:eastAsia="en-AU"/>
              </w:rPr>
              <w:t xml:space="preserve"> was not associated with cerebral structure</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lang w:eastAsia="en-AU"/>
              </w:rPr>
              <w:br/>
            </w:r>
            <w:r w:rsidRPr="00B54A75">
              <w:rPr>
                <w:rFonts w:ascii="Calibri" w:eastAsia="Times New Roman" w:hAnsi="Calibri" w:cs="Calibri"/>
                <w:b/>
                <w:bCs/>
                <w:iCs/>
                <w:color w:val="000000"/>
                <w:sz w:val="20"/>
                <w:szCs w:val="20"/>
                <w:lang w:eastAsia="en-AU"/>
              </w:rPr>
              <w:t>Longitudinal (MRI; 2 years)</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u w:val="single"/>
                <w:lang w:eastAsia="en-AU"/>
              </w:rPr>
              <w:t xml:space="preserve">  </w:t>
            </w:r>
            <w:r w:rsidRPr="00B54A75">
              <w:rPr>
                <w:rFonts w:ascii="Calibri" w:eastAsia="Times New Roman" w:hAnsi="Calibri" w:cs="Calibri"/>
                <w:color w:val="000000"/>
                <w:sz w:val="20"/>
                <w:szCs w:val="20"/>
                <w:lang w:eastAsia="en-AU"/>
              </w:rPr>
              <w:t>was associate</w:t>
            </w:r>
            <w:r w:rsidR="00AC73C6" w:rsidRPr="00B54A75">
              <w:rPr>
                <w:rFonts w:ascii="Calibri" w:eastAsia="Times New Roman" w:hAnsi="Calibri" w:cs="Calibri"/>
                <w:color w:val="000000"/>
                <w:sz w:val="20"/>
                <w:szCs w:val="20"/>
                <w:lang w:eastAsia="en-AU"/>
              </w:rPr>
              <w:t>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w:t>
            </w:r>
            <w:proofErr w:type="spellStart"/>
            <w:r w:rsidR="00A93878" w:rsidRPr="00B54A75">
              <w:rPr>
                <w:rFonts w:ascii="Calibri" w:eastAsia="Times New Roman" w:hAnsi="Calibri" w:cs="Calibri"/>
                <w:color w:val="000000"/>
                <w:sz w:val="20"/>
                <w:szCs w:val="20"/>
                <w:lang w:eastAsia="en-AU"/>
              </w:rPr>
              <w:t>WMar</w:t>
            </w:r>
            <w:proofErr w:type="spellEnd"/>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w:t>
            </w:r>
            <w:r w:rsidR="00A93878" w:rsidRPr="00B54A75">
              <w:rPr>
                <w:rFonts w:ascii="Calibri" w:eastAsia="Times New Roman" w:hAnsi="Calibri" w:cs="Calibri"/>
                <w:color w:val="000000"/>
                <w:sz w:val="20"/>
                <w:szCs w:val="20"/>
                <w:lang w:eastAsia="en-AU"/>
              </w:rPr>
              <w:t xml:space="preserve"> </w:t>
            </w:r>
            <w:proofErr w:type="spellStart"/>
            <w:r w:rsidR="00A93878" w:rsidRPr="00B54A75">
              <w:rPr>
                <w:rFonts w:ascii="Calibri" w:eastAsia="Times New Roman" w:hAnsi="Calibri" w:cs="Calibri"/>
                <w:color w:val="000000"/>
                <w:sz w:val="20"/>
                <w:szCs w:val="20"/>
                <w:lang w:eastAsia="en-AU"/>
              </w:rPr>
              <w:t>HCar</w:t>
            </w:r>
            <w:proofErr w:type="spellEnd"/>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VIT-B</w:t>
            </w:r>
            <w:r w:rsidRPr="00B54A75">
              <w:rPr>
                <w:rFonts w:ascii="Calibri" w:eastAsia="Times New Roman" w:hAnsi="Calibri" w:cs="Calibri"/>
                <w:color w:val="000000"/>
                <w:sz w:val="20"/>
                <w:szCs w:val="20"/>
                <w:u w:val="single"/>
                <w:vertAlign w:val="subscript"/>
                <w:lang w:eastAsia="en-AU"/>
              </w:rPr>
              <w:t>12</w:t>
            </w:r>
            <w:r w:rsidRPr="00B54A75">
              <w:rPr>
                <w:rFonts w:ascii="Calibri" w:eastAsia="Times New Roman" w:hAnsi="Calibri" w:cs="Calibri"/>
                <w:color w:val="000000"/>
                <w:sz w:val="20"/>
                <w:szCs w:val="20"/>
                <w:lang w:eastAsia="en-AU"/>
              </w:rPr>
              <w:t xml:space="preserve"> or </w:t>
            </w:r>
            <w:r w:rsidRPr="00B54A75">
              <w:rPr>
                <w:rFonts w:ascii="Calibri" w:eastAsia="Times New Roman" w:hAnsi="Calibri" w:cs="Calibri"/>
                <w:color w:val="000000"/>
                <w:sz w:val="20"/>
                <w:szCs w:val="20"/>
                <w:u w:val="single"/>
                <w:lang w:eastAsia="en-AU"/>
              </w:rPr>
              <w:t>folate</w:t>
            </w:r>
            <w:r w:rsidRPr="00B54A75">
              <w:rPr>
                <w:rFonts w:ascii="Calibri" w:eastAsia="Times New Roman" w:hAnsi="Calibri" w:cs="Calibri"/>
                <w:color w:val="000000"/>
                <w:sz w:val="20"/>
                <w:szCs w:val="20"/>
                <w:lang w:eastAsia="en-AU"/>
              </w:rPr>
              <w:t xml:space="preserve"> were not associated with cerebral atrophy</w:t>
            </w:r>
          </w:p>
        </w:tc>
      </w:tr>
      <w:tr w:rsidR="008251F9" w:rsidRPr="00B54A75" w:rsidTr="00222F25">
        <w:trPr>
          <w:trHeight w:val="840"/>
        </w:trPr>
        <w:tc>
          <w:tcPr>
            <w:tcW w:w="1840" w:type="dxa"/>
            <w:tcBorders>
              <w:top w:val="nil"/>
              <w:left w:val="nil"/>
              <w:bottom w:val="nil"/>
              <w:right w:val="nil"/>
            </w:tcBorders>
            <w:shd w:val="clear" w:color="000000" w:fill="D9D9D9"/>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Chee et al.</w:t>
            </w:r>
            <w:r w:rsidR="003114C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"10.1016/j.neuroimage.2009.01.036", "ISSN" : "1095-9572", "PMID" : "19457386", "abstract" : "We investigated the effect of age and health variables known to modulate cognitive aging on several measures of cognitive performance and brain volume in a cohort of healthy, non-demented persons of Chinese descent aged between 55 and 86 years. 248 subjects contributed combined neuropsychological, MR imaging, health and socio-demographic information. Speed of processing showed the largest age-related decline. Education and plasma homocysteine levels modulated age-related decline in cognitive performance. Total cerebral volume declined at an annual rate of 0.4%/yr. Gray and white matter volume loss was comparable in magnitude. Regionally, there was relatively greater volume loss in the lateral prefrontal cortex bilaterally, around the primary visual cortex as well as bilateral superior parietal cortices. Speed of processing showed significant positive correlation with gray matter volume in several frontal, parietal and midline occipital regions bilaterally. In spite of differences in diet, lifestyle and culture, these findings are broadly comparable to studies conducted in Caucasian populations and suggest generalizability of processes involved in age-related decline in cognition and brain volume.", "author" : [ { "dropping-particle" : "", "family" : "Chee", "given" : "Michael W L", "non-dropping-particle" : "", "parse-names" : false, "suffix" : "" }, { "dropping-particle" : "", "family" : "Chen", "given" : "Karren H M", "non-dropping-particle" : "", "parse-names" : false, "suffix" : "" }, { "dropping-particle" : "", "family" : "Zheng", "given" : "Hui", "non-dropping-particle" : "", "parse-names" : false, "suffix" : "" }, { "dropping-particle" : "", "family" : "Chan", "given" : "Karen P L", "non-dropping-particle" : "", "parse-names" : false, "suffix" : "" }, { "dropping-particle" : "", "family" : "Isaac", "given" : "Vivian", "non-dropping-particle" : "", "parse-names" : false, "suffix" : "" }, { "dropping-particle" : "", "family" : "Sim", "given" : "Sam K Y", "non-dropping-particle" : "", "parse-names" : false, "suffix" : "" }, { "dropping-particle" : "", "family" : "Chuah", "given" : "Lisa Y M", "non-dropping-particle" : "", "parse-names" : false, "suffix" : "" }, { "dropping-particle" : "", "family" : "Schuchinsky", "given" : "Maria", "non-dropping-particle" : "", "parse-names" : false, "suffix" : "" }, { "dropping-particle" : "", "family" : "Fischl", "given" : "Bruce", "non-dropping-particle" : "", "parse-names" : false, "suffix" : "" }, { "dropping-particle" : "", "family" : "Ng", "given" : "Tze Pin", "non-dropping-particle" : "", "parse-names" : false, "suffix" : "" } ], "container-title" : "NeuroImage", "id" : "ITEM-1", "issued" : { "date-parts" : [ [ "2009", "5", "15" ] ] }, "page" : "257-269", "publisher" : "Elsevier Inc.", "title" : "Cognitive function and brain structure correlations in healthy elderly East Asians", "type" : "article-journal", "volume" : "46" }, "uris" : [ "http://www.mendeley.com/documents/?uuid=731b34ef-9502-4837-bcdb-48c05a5fe584" ] } ], "mendeley" : { "formattedCitation" : "&lt;sup&gt;(13)&lt;/sup&gt;", "plainTextFormattedCitation" : "(13)", "previouslyFormattedCitation" : "&lt;sup&gt;(13)&lt;/sup&gt;" }, "properties" : { "noteIndex" : 0 }, "schema" : "https://github.com/citation-style-language/schema/raw/master/csl-citation.json" }</w:instrText>
            </w:r>
            <w:r w:rsidR="003114C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(13)</w:t>
            </w:r>
            <w:r w:rsidR="003114C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000000" w:fill="D9D9D9"/>
            <w:vAlign w:val="bottom"/>
            <w:hideMark/>
          </w:tcPr>
          <w:p w:rsidR="00112011" w:rsidRPr="00B54A75" w:rsidRDefault="002C1387" w:rsidP="002C1387">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248</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≥55.0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65.80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6.53</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w:t>
            </w:r>
            <w:r w:rsidR="00AC73C6" w:rsidRPr="00B54A75">
              <w:rPr>
                <w:rFonts w:ascii="Calibri" w:eastAsia="Times New Roman" w:hAnsi="Calibri" w:cs="Calibri"/>
                <w:color w:val="000000"/>
                <w:sz w:val="20"/>
                <w:szCs w:val="20"/>
                <w:lang w:eastAsia="en-AU"/>
              </w:rPr>
              <w:t>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TC-</w:t>
            </w:r>
            <w:proofErr w:type="spellStart"/>
            <w:r w:rsidRPr="00B54A75">
              <w:rPr>
                <w:rFonts w:ascii="Calibri" w:eastAsia="Times New Roman" w:hAnsi="Calibri" w:cs="Calibri"/>
                <w:color w:val="000000"/>
                <w:sz w:val="20"/>
                <w:szCs w:val="20"/>
                <w:lang w:eastAsia="en-AU"/>
              </w:rPr>
              <w:t>WMv</w:t>
            </w:r>
            <w:proofErr w:type="spellEnd"/>
            <w:r w:rsidRPr="00B54A75">
              <w:rPr>
                <w:rFonts w:ascii="Calibri" w:eastAsia="Times New Roman" w:hAnsi="Calibri" w:cs="Calibri"/>
                <w:color w:val="000000"/>
                <w:sz w:val="20"/>
                <w:szCs w:val="20"/>
                <w:lang w:eastAsia="en-AU"/>
              </w:rPr>
              <w:t xml:space="preserve"> </w:t>
            </w:r>
          </w:p>
        </w:tc>
      </w:tr>
      <w:tr w:rsidR="009321E8" w:rsidRPr="00B54A75" w:rsidTr="00222F25">
        <w:trPr>
          <w:trHeight w:val="1350"/>
        </w:trPr>
        <w:tc>
          <w:tcPr>
            <w:tcW w:w="1840" w:type="dxa"/>
            <w:tcBorders>
              <w:top w:val="nil"/>
              <w:left w:val="nil"/>
              <w:bottom w:val="nil"/>
              <w:right w:val="nil"/>
            </w:tcBorders>
            <w:shd w:val="clear" w:color="auto" w:fill="auto"/>
            <w:vAlign w:val="bottom"/>
            <w:hideMark/>
          </w:tcPr>
          <w:p w:rsidR="00112011" w:rsidRPr="00B54A75" w:rsidRDefault="00A85A6A" w:rsidP="009321E8">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de Lau et al.</w:t>
            </w:r>
            <w:r w:rsidR="003114C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"10.1136/jnnp.2008.149286", "ISSN" : "1468-330X", "PMID" : "18977824", "abstract" : "BACKGROUND AND OBJECTIVE: Elevated homocysteine has been associated with a higher prevalence of cerebral white-matter lesions and infarcts, and worse cognitive performance. This raises the question whether factors involved in homocysteine metabolism, such as vitamin B(12), are also related to these outcomes. This study examined the association of several markers of vitamin B(12) status with cerebral white-matter lesions, infarcts and cognition. METHODS: The study evaluated the association of plasma concentrations of vitamin B(12), methylmalonic acid, holotranscobalamin and transcobalamin saturation with cerebral white-matter lesions and infarcts at baseline and cognition at baseline and during follow-up among 1019 non-demented elderly participants of the population-based Rotterdam Scan Study. Analyses were adjusted for several potential confounders, including homocysteine and folate concentration. RESULTS: Poorer vitamin B(12) status was significantly associated with greater severity of white-matter lesions, in particular periventricular white-matter lesions, in a concentration-related manner. Adjustment for common vascular risk factors (including blood pressure, smoking, diabetes and intima media thickness) did not alter the associations. Adjustment for homocysteine and folate modestly weakened the associations. No association was observed for any of the studied markers of vitamin B(12) status with presence of brain infarcts and baseline cognition or cognitive decline during follow-up. CONCLUSIONS: These results indicate that vitamin B(12) status in the normal range is associated with severity of white-matter lesions, especially periventricular lesions. Given the absence of an association with cerebral infarcts, it is hypothesised that this association is explained by effects on myelin integrity in the brain rather than through vascular mechanisms.", "author" : [ { "dropping-particle" : "", "family" : "Lau", "given" : "L M L", "non-dropping-particle" : "de", "parse-names" : false, "suffix" : "" }, { "dropping-particle" : "", "family" : "Smith", "given" : "A D", "non-dropping-particle" : "", "parse-names" : false, "suffix" : "" }, { "dropping-particle" : "", "family" : "Refsum", "given" : "H", "non-dropping-particle" : "", "parse-names" : false, "suffix" : "" }, { "dropping-particle" : "", "family" : "Johnston", "given" : "C", "non-dropping-particle" : "", "parse-names" : false, "suffix" : "" }, { "dropping-particle" : "", "family" : "Breteler", "given" : "M M B", "non-dropping-particle" : "", "parse-names" : false, "suffix" : "" } ], "container-title" : "Journal of Neurology, Neurosurgery, &amp; Psychiatry", "id" : "ITEM-1", "issued" : { "date-parts" : [ [ "2009", "2" ] ] }, "page" : "149-157", "title" : "Plasma vitamin B12 status and cerebral white-matter lesions", "type" : "article-journal", "volume" : "80" }, "uris" : [ "http://www.mendeley.com/documents/?uuid=cfa08281-9e0e-42be-a930-f1cb7d079ce7" ] } ], "mendeley" : { "formattedCitation" : "&lt;sup&gt;(14)&lt;/sup&gt;", "plainTextFormattedCitation" : "(14)", "previouslyFormattedCitation" : "&lt;sup&gt;(14)&lt;/sup&gt;" }, "properties" : { "noteIndex" : 0 }, "schema" : "https://github.com/citation-style-language/schema/raw/master/csl-citation.json" }</w:instrText>
            </w:r>
            <w:r w:rsidR="003114C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(14)</w:t>
            </w:r>
            <w:r w:rsidR="003114C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VIT-B</w:t>
            </w:r>
            <w:r w:rsidRPr="00B54A75">
              <w:rPr>
                <w:rFonts w:ascii="Calibri" w:eastAsia="Times New Roman" w:hAnsi="Calibri" w:cs="Calibri"/>
                <w:color w:val="000000"/>
                <w:sz w:val="20"/>
                <w:szCs w:val="20"/>
                <w:vertAlign w:val="subscript"/>
                <w:lang w:eastAsia="en-AU"/>
              </w:rPr>
              <w:t>12</w:t>
            </w:r>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HoloTC</w:t>
            </w:r>
            <w:proofErr w:type="spellEnd"/>
            <w:r w:rsidRPr="00B54A75">
              <w:rPr>
                <w:rFonts w:ascii="Calibri" w:eastAsia="Times New Roman" w:hAnsi="Calibri" w:cs="Calibri"/>
                <w:color w:val="000000"/>
                <w:sz w:val="20"/>
                <w:szCs w:val="20"/>
                <w:lang w:eastAsia="en-AU"/>
              </w:rPr>
              <w:t>, TC</w:t>
            </w:r>
            <w:r w:rsidR="00083999" w:rsidRPr="00B54A75">
              <w:rPr>
                <w:rFonts w:ascii="Calibri" w:eastAsia="Times New Roman" w:hAnsi="Calibri" w:cs="Calibri"/>
                <w:color w:val="000000"/>
                <w:sz w:val="20"/>
                <w:szCs w:val="20"/>
                <w:lang w:eastAsia="en-AU"/>
              </w:rPr>
              <w:t>s</w:t>
            </w:r>
            <w:r w:rsidRPr="00B54A75">
              <w:rPr>
                <w:rFonts w:ascii="Calibri" w:eastAsia="Times New Roman" w:hAnsi="Calibri" w:cs="Calibri"/>
                <w:color w:val="000000"/>
                <w:sz w:val="20"/>
                <w:szCs w:val="20"/>
                <w:lang w:eastAsia="en-AU"/>
              </w:rPr>
              <w:t xml:space="preserve"> &amp; MMA</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1,019</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60.0 - 90.0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72.20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7.40</w:t>
            </w:r>
          </w:p>
        </w:tc>
        <w:tc>
          <w:tcPr>
            <w:tcW w:w="5760" w:type="dxa"/>
            <w:tcBorders>
              <w:top w:val="nil"/>
              <w:left w:val="nil"/>
              <w:bottom w:val="nil"/>
              <w:right w:val="nil"/>
            </w:tcBorders>
            <w:shd w:val="clear" w:color="auto" w:fill="auto"/>
            <w:vAlign w:val="bottom"/>
            <w:hideMark/>
          </w:tcPr>
          <w:p w:rsidR="00112011" w:rsidRPr="00B54A75" w:rsidRDefault="00112011" w:rsidP="00083999">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VIT-B</w:t>
            </w:r>
            <w:r w:rsidRPr="00B54A75">
              <w:rPr>
                <w:rFonts w:ascii="Calibri" w:eastAsia="Times New Roman" w:hAnsi="Calibri" w:cs="Calibri"/>
                <w:color w:val="000000"/>
                <w:sz w:val="20"/>
                <w:szCs w:val="20"/>
                <w:u w:val="single"/>
                <w:vertAlign w:val="subscript"/>
                <w:lang w:eastAsia="en-AU"/>
              </w:rPr>
              <w:t>12</w:t>
            </w:r>
            <w:r w:rsidRPr="00B54A75">
              <w:rPr>
                <w:rFonts w:ascii="Calibri" w:eastAsia="Times New Roman" w:hAnsi="Calibri" w:cs="Calibri"/>
                <w:color w:val="000000"/>
                <w:sz w:val="20"/>
                <w:szCs w:val="20"/>
                <w:lang w:eastAsia="en-AU"/>
              </w:rPr>
              <w:t xml:space="preserve"> &amp; </w:t>
            </w:r>
            <w:r w:rsidRPr="00B54A75">
              <w:rPr>
                <w:rFonts w:ascii="Calibri" w:eastAsia="Times New Roman" w:hAnsi="Calibri" w:cs="Calibri"/>
                <w:color w:val="000000"/>
                <w:sz w:val="20"/>
                <w:szCs w:val="20"/>
                <w:u w:val="single"/>
                <w:lang w:eastAsia="en-AU"/>
              </w:rPr>
              <w:t>↑ MMA</w:t>
            </w:r>
            <w:r w:rsidRPr="00B54A75">
              <w:rPr>
                <w:rFonts w:ascii="Calibri" w:eastAsia="Times New Roman" w:hAnsi="Calibri" w:cs="Calibri"/>
                <w:color w:val="000000"/>
                <w:sz w:val="20"/>
                <w:szCs w:val="20"/>
                <w:lang w:eastAsia="en-AU"/>
              </w:rPr>
              <w:t xml:space="preserve"> w</w:t>
            </w:r>
            <w:r w:rsidR="00AC73C6" w:rsidRPr="00B54A75">
              <w:rPr>
                <w:rFonts w:ascii="Calibri" w:eastAsia="Times New Roman" w:hAnsi="Calibri" w:cs="Calibri"/>
                <w:color w:val="000000"/>
                <w:sz w:val="20"/>
                <w:szCs w:val="20"/>
                <w:lang w:eastAsia="en-AU"/>
              </w:rPr>
              <w:t>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↑Severity of </w:t>
            </w:r>
            <w:proofErr w:type="spellStart"/>
            <w:r w:rsidRPr="00B54A75">
              <w:rPr>
                <w:rFonts w:ascii="Calibri" w:eastAsia="Times New Roman" w:hAnsi="Calibri" w:cs="Calibri"/>
                <w:color w:val="000000"/>
                <w:sz w:val="20"/>
                <w:szCs w:val="20"/>
                <w:lang w:eastAsia="en-AU"/>
              </w:rPr>
              <w:t>pvWML</w:t>
            </w:r>
            <w:proofErr w:type="spellEnd"/>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HoloTC</w:t>
            </w:r>
            <w:proofErr w:type="spellEnd"/>
            <w:r w:rsidRPr="00B54A75">
              <w:rPr>
                <w:rFonts w:ascii="Calibri" w:eastAsia="Times New Roman" w:hAnsi="Calibri" w:cs="Calibri"/>
                <w:color w:val="000000"/>
                <w:sz w:val="20"/>
                <w:szCs w:val="20"/>
                <w:lang w:eastAsia="en-AU"/>
              </w:rPr>
              <w:t xml:space="preserve"> &amp; </w:t>
            </w:r>
            <w:r w:rsidR="00083999" w:rsidRPr="00B54A75">
              <w:rPr>
                <w:rFonts w:ascii="Calibri" w:eastAsia="Times New Roman" w:hAnsi="Calibri" w:cs="Calibri"/>
                <w:color w:val="000000"/>
                <w:sz w:val="20"/>
                <w:szCs w:val="20"/>
                <w:u w:val="single"/>
                <w:lang w:eastAsia="en-AU"/>
              </w:rPr>
              <w:t>↓ TCs</w:t>
            </w:r>
            <w:r w:rsidR="00083999" w:rsidRPr="00B54A75">
              <w:rPr>
                <w:rFonts w:ascii="Calibri" w:eastAsia="Times New Roman" w:hAnsi="Calibri" w:cs="Calibri"/>
                <w:color w:val="000000"/>
                <w:sz w:val="20"/>
                <w:szCs w:val="20"/>
                <w:lang w:eastAsia="en-AU"/>
              </w:rPr>
              <w:t xml:space="preserve"> </w:t>
            </w:r>
            <w:r w:rsidRPr="00B54A75">
              <w:rPr>
                <w:rFonts w:ascii="Calibri" w:eastAsia="Times New Roman" w:hAnsi="Calibri" w:cs="Calibri"/>
                <w:color w:val="000000"/>
                <w:sz w:val="20"/>
                <w:szCs w:val="20"/>
                <w:lang w:eastAsia="en-AU"/>
              </w:rPr>
              <w:t>w</w:t>
            </w:r>
            <w:r w:rsidR="00AC73C6" w:rsidRPr="00B54A75">
              <w:rPr>
                <w:rFonts w:ascii="Calibri" w:eastAsia="Times New Roman" w:hAnsi="Calibri" w:cs="Calibri"/>
                <w:color w:val="000000"/>
                <w:sz w:val="20"/>
                <w:szCs w:val="20"/>
                <w:lang w:eastAsia="en-AU"/>
              </w:rPr>
              <w:t>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Severity of </w:t>
            </w:r>
            <w:proofErr w:type="spellStart"/>
            <w:r w:rsidRPr="00B54A75">
              <w:rPr>
                <w:rFonts w:ascii="Calibri" w:eastAsia="Times New Roman" w:hAnsi="Calibri" w:cs="Calibri"/>
                <w:color w:val="000000"/>
                <w:sz w:val="20"/>
                <w:szCs w:val="20"/>
                <w:lang w:eastAsia="en-AU"/>
              </w:rPr>
              <w:t>pvWML</w:t>
            </w:r>
            <w:proofErr w:type="spellEnd"/>
            <w:r w:rsidRPr="00B54A75">
              <w:rPr>
                <w:rFonts w:ascii="Calibri" w:eastAsia="Times New Roman" w:hAnsi="Calibri" w:cs="Calibri"/>
                <w:color w:val="000000"/>
                <w:sz w:val="20"/>
                <w:szCs w:val="20"/>
                <w:lang w:eastAsia="en-AU"/>
              </w:rPr>
              <w:t xml:space="preserve"> &amp; </w:t>
            </w:r>
            <w:proofErr w:type="spellStart"/>
            <w:r w:rsidRPr="00B54A75">
              <w:rPr>
                <w:rFonts w:ascii="Calibri" w:eastAsia="Times New Roman" w:hAnsi="Calibri" w:cs="Calibri"/>
                <w:color w:val="000000"/>
                <w:sz w:val="20"/>
                <w:szCs w:val="20"/>
                <w:lang w:eastAsia="en-AU"/>
              </w:rPr>
              <w:t>scWML</w:t>
            </w:r>
            <w:proofErr w:type="spellEnd"/>
            <w:r w:rsidRPr="00B54A75">
              <w:rPr>
                <w:rFonts w:ascii="Calibri" w:eastAsia="Times New Roman" w:hAnsi="Calibri" w:cs="Calibri"/>
                <w:color w:val="000000"/>
                <w:sz w:val="20"/>
                <w:szCs w:val="20"/>
                <w:lang w:eastAsia="en-AU"/>
              </w:rPr>
              <w:t xml:space="preserve"> </w:t>
            </w:r>
          </w:p>
        </w:tc>
      </w:tr>
      <w:tr w:rsidR="008251F9" w:rsidRPr="00B54A75" w:rsidTr="00222F25">
        <w:trPr>
          <w:trHeight w:val="2100"/>
        </w:trPr>
        <w:tc>
          <w:tcPr>
            <w:tcW w:w="1840" w:type="dxa"/>
            <w:tcBorders>
              <w:top w:val="nil"/>
              <w:left w:val="nil"/>
              <w:bottom w:val="nil"/>
              <w:right w:val="nil"/>
            </w:tcBorders>
            <w:shd w:val="clear" w:color="000000" w:fill="D9D9D9"/>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Erickson et al.</w:t>
            </w:r>
            <w:r w:rsidR="003114C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"10.1016/j.brainres.2008.01.030", "ISSN" : "0006-8993", "PMID" : "18281020", "abstract" : "Previous studies have reported that high concentrations of homocysteine and lower concentrations of vitamins B6, B12, and folate increase the risk for cognitive decline and pathology in aging populations. In this cross-sectional study, high resolution magnetic resonance imaging (MRI) scans and a 3-day food diary were collected on 32 community-dwelling adults between the ages of 59 and 79. We examined the relation between vitamins B6, B12, and folate intake on cortical volume using an optimized voxel-based morphometry (VBM) method and global gray and white matter volume after correcting for age, sex, body mass index, calorie intake, and education. All participants met or surpassed the recommended daily intake for these vitamins. In the VBM analysis, we found that adults with greater vitamin B6 intake had greater gray matter volume along the medial wall, anterior cingulate cortex, medial parietal cortex, middle temporal gyrus, and superior frontal gyrus, whereas people with greater B12 intake had greater volume in the left and right superior parietal sulcus. These effects were driven by vitamin supplementation and were negated when only examining vitamin intake from diet. Folate had no effect on brain volume. Furthermore, there was no relationship between vitamins B6, B12, or folate intake on global brain volume measures, indicating that VBM methods are more sensitive for detecting localized differences in gray matter volume than global measures. These results are discussed in relation to a growing literature on vitamin intake on age-related neurocognitive deterioration.", "author" : [ { "dropping-particle" : "", "family" : "Erickson", "given" : "Kirk I", "non-dropping-particle" : "", "parse-names" : false, "suffix" : "" }, { "dropping-particle" : "", "family" : "Suever", "given" : "Barbara L", "non-dropping-particle" : "", "parse-names" : false, "suffix" : "" }, { "dropping-particle" : "", "family" : "Prakash", "given" : "Ruchika Shaurya", "non-dropping-particle" : "", "parse-names" : false, "suffix" : "" }, { "dropping-particle" : "", "family" : "Colcombe", "given" : "Stanley J", "non-dropping-particle" : "", "parse-names" : false, "suffix" : "" }, { "dropping-particle" : "", "family" : "McAuley", "given" : "Edward", "non-dropping-particle" : "", "parse-names" : false, "suffix" : "" }, { "dropping-particle" : "", "family" : "Kramer", "given" : "Arthur F", "non-dropping-particle" : "", "parse-names" : false, "suffix" : "" } ], "container-title" : "Brain research", "id" : "ITEM-1", "issued" : { "date-parts" : [ [ "2008", "3", "14" ] ] }, "page" : "20-26", "title" : "Greater intake of vitamins B6 and B12 spares gray matter in healthy elderly: a voxel-based morphometry study", "type" : "article-journal", "volume" : "1199" }, "uris" : [ "http://www.mendeley.com/documents/?uuid=a0e9b98c-d7e5-41a5-95c8-1f7e8fe4aa33" ] } ], "mendeley" : { "formattedCitation" : "&lt;sup&gt;(15)&lt;/sup&gt;", "plainTextFormattedCitation" : "(15)", "previouslyFormattedCitation" : "&lt;sup&gt;(15)&lt;/sup&gt;" }, "properties" : { "noteIndex" : 0 }, "schema" : "https://github.com/citation-style-language/schema/raw/master/csl-citation.json" }</w:instrText>
            </w:r>
            <w:r w:rsidR="003114C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(15)</w:t>
            </w:r>
            <w:r w:rsidR="003114C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VIT-B</w:t>
            </w:r>
            <w:r w:rsidRPr="00B54A75">
              <w:rPr>
                <w:rFonts w:ascii="Calibri" w:eastAsia="Times New Roman" w:hAnsi="Calibri" w:cs="Calibri"/>
                <w:color w:val="000000"/>
                <w:sz w:val="20"/>
                <w:szCs w:val="20"/>
                <w:vertAlign w:val="subscript"/>
                <w:lang w:eastAsia="en-AU"/>
              </w:rPr>
              <w:t>6</w:t>
            </w:r>
            <w:r w:rsidRPr="00B54A75">
              <w:rPr>
                <w:rFonts w:ascii="Calibri" w:eastAsia="Times New Roman" w:hAnsi="Calibri" w:cs="Calibri"/>
                <w:color w:val="000000"/>
                <w:sz w:val="20"/>
                <w:szCs w:val="20"/>
                <w:lang w:eastAsia="en-AU"/>
              </w:rPr>
              <w:t xml:space="preserve"> &amp; VIT-B</w:t>
            </w:r>
            <w:r w:rsidRPr="00B54A75">
              <w:rPr>
                <w:rFonts w:ascii="Calibri" w:eastAsia="Times New Roman" w:hAnsi="Calibri" w:cs="Calibri"/>
                <w:color w:val="000000"/>
                <w:sz w:val="20"/>
                <w:szCs w:val="20"/>
                <w:vertAlign w:val="subscript"/>
                <w:lang w:eastAsia="en-AU"/>
              </w:rPr>
              <w:t>12</w:t>
            </w:r>
            <w:r w:rsidRPr="00B54A75">
              <w:rPr>
                <w:rFonts w:ascii="Calibri" w:eastAsia="Times New Roman" w:hAnsi="Calibri" w:cs="Calibri"/>
                <w:color w:val="000000"/>
                <w:sz w:val="20"/>
                <w:szCs w:val="20"/>
                <w:lang w:eastAsia="en-AU"/>
              </w:rPr>
              <w:t xml:space="preserve"> (3DFD)</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32</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59.0 - 79.0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68.0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Estimated VIT-B6</w:t>
            </w:r>
            <w:r w:rsidRPr="00B54A75">
              <w:rPr>
                <w:rFonts w:ascii="Calibri" w:eastAsia="Times New Roman" w:hAnsi="Calibri" w:cs="Calibri"/>
                <w:color w:val="000000"/>
                <w:sz w:val="20"/>
                <w:szCs w:val="20"/>
                <w:lang w:eastAsia="en-AU"/>
              </w:rPr>
              <w:t xml:space="preserve"> intake</w:t>
            </w:r>
            <w:r w:rsidR="00AC73C6" w:rsidRPr="00B54A75">
              <w:rPr>
                <w:rFonts w:ascii="Calibri" w:eastAsia="Times New Roman" w:hAnsi="Calibri" w:cs="Calibri"/>
                <w:color w:val="000000"/>
                <w:sz w:val="20"/>
                <w:szCs w:val="20"/>
                <w:lang w:eastAsia="en-AU"/>
              </w:rPr>
              <w:t xml:space="preserve"> was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within SFC, SMA, PL, M</w:t>
            </w:r>
            <w:r w:rsidR="00AC73C6" w:rsidRPr="00B54A75">
              <w:rPr>
                <w:rFonts w:ascii="Calibri" w:eastAsia="Times New Roman" w:hAnsi="Calibri" w:cs="Calibri"/>
                <w:color w:val="000000"/>
                <w:sz w:val="20"/>
                <w:szCs w:val="20"/>
                <w:lang w:eastAsia="en-AU"/>
              </w:rPr>
              <w:t xml:space="preserve">PC, MTC, </w:t>
            </w:r>
            <w:proofErr w:type="spellStart"/>
            <w:r w:rsidR="00AC73C6" w:rsidRPr="00B54A75">
              <w:rPr>
                <w:rFonts w:ascii="Calibri" w:eastAsia="Times New Roman" w:hAnsi="Calibri" w:cs="Calibri"/>
                <w:color w:val="000000"/>
                <w:sz w:val="20"/>
                <w:szCs w:val="20"/>
                <w:lang w:eastAsia="en-AU"/>
              </w:rPr>
              <w:t>aCingC</w:t>
            </w:r>
            <w:proofErr w:type="spellEnd"/>
            <w:r w:rsidR="00AC73C6" w:rsidRPr="00B54A75">
              <w:rPr>
                <w:rFonts w:ascii="Calibri" w:eastAsia="Times New Roman" w:hAnsi="Calibri" w:cs="Calibri"/>
                <w:color w:val="000000"/>
                <w:sz w:val="20"/>
                <w:szCs w:val="20"/>
                <w:lang w:eastAsia="en-AU"/>
              </w:rPr>
              <w:t>, &amp;</w:t>
            </w:r>
            <w:r w:rsidR="00AC73C6" w:rsidRPr="00B54A75">
              <w:rPr>
                <w:rFonts w:ascii="Calibri" w:eastAsia="Times New Roman" w:hAnsi="Calibri" w:cs="Calibri"/>
                <w:color w:val="000000"/>
                <w:sz w:val="20"/>
                <w:szCs w:val="20"/>
                <w:lang w:eastAsia="en-AU"/>
              </w:rPr>
              <w:br/>
              <w:t xml:space="preserve">           </w:t>
            </w:r>
            <w:proofErr w:type="spellStart"/>
            <w:r w:rsidRPr="00B54A75">
              <w:rPr>
                <w:rFonts w:ascii="Calibri" w:eastAsia="Times New Roman" w:hAnsi="Calibri" w:cs="Calibri"/>
                <w:color w:val="000000"/>
                <w:sz w:val="20"/>
                <w:szCs w:val="20"/>
                <w:lang w:eastAsia="en-AU"/>
              </w:rPr>
              <w:t>poCingC</w:t>
            </w:r>
            <w:proofErr w:type="spellEnd"/>
            <w:r w:rsidRPr="00B54A75">
              <w:rPr>
                <w:rFonts w:ascii="Calibri" w:eastAsia="Times New Roman" w:hAnsi="Calibri" w:cs="Calibri"/>
                <w:color w:val="000000"/>
                <w:sz w:val="20"/>
                <w:szCs w:val="20"/>
                <w:lang w:eastAsia="en-AU"/>
              </w:rPr>
              <w:t xml:space="preserve">  </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Estimated VIT-B</w:t>
            </w:r>
            <w:r w:rsidRPr="00B54A75">
              <w:rPr>
                <w:rFonts w:ascii="Calibri" w:eastAsia="Times New Roman" w:hAnsi="Calibri" w:cs="Calibri"/>
                <w:color w:val="000000"/>
                <w:sz w:val="20"/>
                <w:szCs w:val="20"/>
                <w:u w:val="single"/>
                <w:vertAlign w:val="subscript"/>
                <w:lang w:eastAsia="en-AU"/>
              </w:rPr>
              <w:t>12</w:t>
            </w:r>
            <w:r w:rsidRPr="00B54A75">
              <w:rPr>
                <w:rFonts w:ascii="Calibri" w:eastAsia="Times New Roman" w:hAnsi="Calibri" w:cs="Calibri"/>
                <w:color w:val="000000"/>
                <w:sz w:val="20"/>
                <w:szCs w:val="20"/>
                <w:u w:val="single"/>
                <w:lang w:eastAsia="en-AU"/>
              </w:rPr>
              <w:t xml:space="preserve"> </w:t>
            </w:r>
            <w:r w:rsidRPr="00B54A75">
              <w:rPr>
                <w:rFonts w:ascii="Calibri" w:eastAsia="Times New Roman" w:hAnsi="Calibri" w:cs="Calibri"/>
                <w:color w:val="000000"/>
                <w:sz w:val="20"/>
                <w:szCs w:val="20"/>
                <w:lang w:eastAsia="en-AU"/>
              </w:rPr>
              <w:t>intake was associat</w:t>
            </w:r>
            <w:r w:rsidR="00AC73C6" w:rsidRPr="00B54A75">
              <w:rPr>
                <w:rFonts w:ascii="Calibri" w:eastAsia="Times New Roman" w:hAnsi="Calibri" w:cs="Calibri"/>
                <w:color w:val="000000"/>
                <w:sz w:val="20"/>
                <w:szCs w:val="20"/>
                <w:lang w:eastAsia="en-AU"/>
              </w:rPr>
              <w: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within posterior PL </w:t>
            </w:r>
            <w:r w:rsidRPr="00B54A75">
              <w:rPr>
                <w:rFonts w:ascii="Calibri" w:eastAsia="Times New Roman" w:hAnsi="Calibri" w:cs="Calibri"/>
                <w:color w:val="000000"/>
                <w:sz w:val="20"/>
                <w:szCs w:val="20"/>
                <w:lang w:eastAsia="en-AU"/>
              </w:rPr>
              <w:br/>
              <w:t xml:space="preserve">All associations were significant when only considering intake from supplementation, not diet  </w:t>
            </w:r>
          </w:p>
        </w:tc>
      </w:tr>
      <w:tr w:rsidR="009321E8" w:rsidRPr="00B54A75" w:rsidTr="00222F25">
        <w:trPr>
          <w:trHeight w:val="1650"/>
        </w:trPr>
        <w:tc>
          <w:tcPr>
            <w:tcW w:w="1840" w:type="dxa"/>
            <w:tcBorders>
              <w:top w:val="nil"/>
              <w:left w:val="nil"/>
              <w:bottom w:val="nil"/>
              <w:right w:val="nil"/>
            </w:tcBorders>
            <w:shd w:val="clear" w:color="auto" w:fill="auto"/>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Seshadri et al.</w:t>
            </w:r>
            <w:r w:rsidR="003114C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"Seshadri", "given" : "S.", "non-dropping-particle" : "", "parse-names" : false, "suffix" : "" }, { "dropping-particle" : "", "family" : "Wolf", "given" : "P.A.", "non-dropping-particle" : "", "parse-names" : false, "suffix" : "" }, { "dropping-particle" : "", "family" : "Beiser", "given" : "A.S.", "non-dropping-particle" : "", "parse-names" : false, "suffix" : "" }, { "dropping-particle" : "", "family" : "Selhub", "given" : "J.", "non-dropping-particle" : "", "parse-names" : false, "suffix" : "" }, { "dropping-particle" : "", "family" : "Au", "given" : "R.", "non-dropping-particle" : "", "parse-names" : false, "suffix" : "" }, { "dropping-particle" : "", "family" : "Jacques", "given" : "P.F.", "non-dropping-particle" : "", "parse-names" : false, "suffix" : "" }, { "dropping-particle" : "", "family" : "Yoshita", "given" : "M.", "non-dropping-particle" : "", "parse-names" : false, "suffix" : "" }, { "dropping-particle" : "", "family" : "Rosenberg", "given" : "I.H.", "non-dropping-particle" : "", "parse-names" : false, "suffix" : "" }, { "dropping-particle" : "", "family" : "D'Agostino", "given" : "R.B.", "non-dropping-particle" : "", "parse-names" : false, "suffix" : "" }, { "dropping-particle" : "", "family" : "DeCarli", "given" : "C.", "non-dropping-particle" : "", "parse-names" : false, "suffix" : "" } ], "container-title" : "Archives of Neurology", "id" : "ITEM-1", "issued" : { "date-parts" : [ [ "2008" ] ] }, "page" : "642-649", "title" : "Association of Plasma Total Homocysteine Levels With Subclinical Brain Injury", "type" : "article-journal", "volume" : "65" }, "uris" : [ "http://www.mendeley.com/documents/?uuid=718a8ab3-eda3-48a8-a569-0d38578d5259" ] } ], "mendeley" : { "formattedCitation" : "&lt;sup&gt;(16)&lt;/sup&gt;", "plainTextFormattedCitation" : "(16)", "previouslyFormattedCitation" : "&lt;sup&gt;(16)&lt;/sup&gt;" }, "properties" : { "noteIndex" : 0 }, "schema" : "https://github.com/citation-style-language/schema/raw/master/csl-citation.json" }</w:instrText>
            </w:r>
            <w:r w:rsidR="003114C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(16)</w:t>
            </w:r>
            <w:r w:rsidR="003114C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1,965</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26.0 - 81.0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54.0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10.0</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t xml:space="preserve">, particularly FL &amp; TL volumes  </w:t>
            </w:r>
            <w:r w:rsidR="00AC73C6" w:rsidRPr="00B54A75">
              <w:rPr>
                <w:rFonts w:ascii="Calibri" w:eastAsia="Times New Roman" w:hAnsi="Calibri" w:cs="Calibri"/>
                <w:iCs/>
                <w:color w:val="000000"/>
                <w:sz w:val="20"/>
                <w:szCs w:val="20"/>
                <w:lang w:eastAsia="en-AU"/>
              </w:rPr>
              <w:t xml:space="preserve">   </w:t>
            </w:r>
            <w:r w:rsidR="00AC73C6" w:rsidRPr="00B54A75">
              <w:rPr>
                <w:rFonts w:ascii="Calibri" w:eastAsia="Times New Roman" w:hAnsi="Calibri" w:cs="Calibri"/>
                <w:iCs/>
                <w:color w:val="000000"/>
                <w:sz w:val="20"/>
                <w:szCs w:val="20"/>
                <w:lang w:eastAsia="en-AU"/>
              </w:rPr>
              <w:br/>
              <w:t xml:space="preserve">       </w:t>
            </w:r>
            <w:r w:rsidRPr="00B54A75">
              <w:rPr>
                <w:rFonts w:ascii="Calibri" w:eastAsia="Times New Roman" w:hAnsi="Calibri" w:cs="Calibri"/>
                <w:color w:val="000000"/>
                <w:sz w:val="20"/>
                <w:szCs w:val="20"/>
                <w:lang w:eastAsia="en-AU"/>
              </w:rPr>
              <w:t>↑ Risk &amp; prevalence of SBI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lang w:eastAsia="en-AU"/>
              </w:rPr>
              <w:br/>
              <w:t xml:space="preserve">Strongest associations were observed in adults aged ≥55              </w:t>
            </w:r>
          </w:p>
        </w:tc>
      </w:tr>
      <w:tr w:rsidR="008251F9" w:rsidRPr="00B54A75" w:rsidTr="00222F25">
        <w:trPr>
          <w:trHeight w:val="1800"/>
        </w:trPr>
        <w:tc>
          <w:tcPr>
            <w:tcW w:w="1840" w:type="dxa"/>
            <w:tcBorders>
              <w:top w:val="nil"/>
              <w:left w:val="nil"/>
              <w:bottom w:val="nil"/>
              <w:right w:val="nil"/>
            </w:tcBorders>
            <w:shd w:val="clear" w:color="000000" w:fill="D9D9D9"/>
            <w:vAlign w:val="bottom"/>
            <w:hideMark/>
          </w:tcPr>
          <w:p w:rsidR="00112011" w:rsidRPr="00B54A75" w:rsidRDefault="00A85A6A" w:rsidP="009321E8">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lastRenderedPageBreak/>
              <w:t>Vogiatzoglou</w:t>
            </w:r>
            <w:proofErr w:type="spellEnd"/>
            <w:r w:rsidRPr="00B54A75">
              <w:rPr>
                <w:rFonts w:ascii="Calibri" w:eastAsia="Times New Roman" w:hAnsi="Calibri" w:cs="Calibri"/>
                <w:color w:val="000000"/>
                <w:sz w:val="20"/>
                <w:szCs w:val="20"/>
                <w:lang w:eastAsia="en-AU"/>
              </w:rPr>
              <w:t xml:space="preserve"> et al.</w:t>
            </w:r>
            <w:r w:rsidR="003114C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"Vogiatzoglou", "given" : "A", "non-dropping-particle" : "", "parse-names" : false, "suffix" : "" }, { "dropping-particle" : "", "family" : "Smith", "given" : "S M", "non-dropping-particle" : "", "parse-names" : false, "suffix" : "" }, { "dropping-particle" : "", "family" : "Bradley", "given" : "K M", "non-dropping-particle" : "", "parse-names" : false, "suffix" : "" } ], "container-title" : "Neurology", "id" : "ITEM-1", "issued" : { "date-parts" : [ [ "2008" ] ] }, "page" : "826-832", "title" : "Vitamin B12 status and rate of brain volume loss in community-dwelling elderly", "type" : "article-journal", "volume" : "71" }, "uris" : [ "http://www.mendeley.com/documents/?uuid=14ce28c4-45a1-4707-80f7-69a765a9497e" ] } ], "mendeley" : { "formattedCitation" : "&lt;sup&gt;(17)&lt;/sup&gt;", "plainTextFormattedCitation" : "(17)", "previouslyFormattedCitation" : "&lt;sup&gt;(17)&lt;/sup&gt;" }, "properties" : { "noteIndex" : 0 }, "schema" : "https://github.com/citation-style-language/schema/raw/master/csl-citation.json" }</w:instrText>
            </w:r>
            <w:r w:rsidR="003114C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(17)</w:t>
            </w:r>
            <w:r w:rsidR="003114C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VIT-B</w:t>
            </w:r>
            <w:r w:rsidRPr="00B54A75">
              <w:rPr>
                <w:rFonts w:ascii="Calibri" w:eastAsia="Times New Roman" w:hAnsi="Calibri" w:cs="Calibri"/>
                <w:color w:val="000000"/>
                <w:sz w:val="20"/>
                <w:szCs w:val="20"/>
                <w:vertAlign w:val="subscript"/>
                <w:lang w:eastAsia="en-AU"/>
              </w:rPr>
              <w:t>12</w:t>
            </w:r>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HoloTC</w:t>
            </w:r>
            <w:proofErr w:type="spellEnd"/>
            <w:r w:rsidRPr="00B54A75">
              <w:rPr>
                <w:rFonts w:ascii="Calibri" w:eastAsia="Times New Roman" w:hAnsi="Calibri" w:cs="Calibri"/>
                <w:color w:val="000000"/>
                <w:sz w:val="20"/>
                <w:szCs w:val="20"/>
                <w:lang w:eastAsia="en-AU"/>
              </w:rPr>
              <w:t>, TC</w:t>
            </w:r>
            <w:r w:rsidR="00083999" w:rsidRPr="00B54A75">
              <w:rPr>
                <w:rFonts w:ascii="Calibri" w:eastAsia="Times New Roman" w:hAnsi="Calibri" w:cs="Calibri"/>
                <w:color w:val="000000"/>
                <w:sz w:val="20"/>
                <w:szCs w:val="20"/>
                <w:lang w:eastAsia="en-AU"/>
              </w:rPr>
              <w:t>s</w:t>
            </w:r>
            <w:r w:rsidRPr="00B54A75">
              <w:rPr>
                <w:rFonts w:ascii="Calibri" w:eastAsia="Times New Roman" w:hAnsi="Calibri" w:cs="Calibri"/>
                <w:color w:val="000000"/>
                <w:sz w:val="20"/>
                <w:szCs w:val="20"/>
                <w:lang w:eastAsia="en-AU"/>
              </w:rPr>
              <w:t xml:space="preserve">, MMA &amp; </w:t>
            </w: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107</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73.20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Longitudinal (MRI; 5 year)</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VIT-B</w:t>
            </w:r>
            <w:r w:rsidRPr="00B54A75">
              <w:rPr>
                <w:rFonts w:ascii="Calibri" w:eastAsia="Times New Roman" w:hAnsi="Calibri" w:cs="Calibri"/>
                <w:color w:val="000000"/>
                <w:sz w:val="20"/>
                <w:szCs w:val="20"/>
                <w:u w:val="single"/>
                <w:vertAlign w:val="subscript"/>
                <w:lang w:eastAsia="en-AU"/>
              </w:rPr>
              <w:t>12</w:t>
            </w:r>
            <w:r w:rsidRPr="00B54A75">
              <w:rPr>
                <w:rFonts w:ascii="Calibri" w:eastAsia="Times New Roman" w:hAnsi="Calibri" w:cs="Calibri"/>
                <w:color w:val="000000"/>
                <w:sz w:val="20"/>
                <w:szCs w:val="20"/>
                <w:lang w:eastAsia="en-AU"/>
              </w:rPr>
              <w:t xml:space="preserve"> &amp; </w:t>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HoloTC</w:t>
            </w:r>
            <w:proofErr w:type="spellEnd"/>
            <w:r w:rsidR="00AC73C6" w:rsidRPr="00B54A75">
              <w:rPr>
                <w:rFonts w:ascii="Calibri" w:eastAsia="Times New Roman" w:hAnsi="Calibri" w:cs="Calibri"/>
                <w:color w:val="000000"/>
                <w:sz w:val="20"/>
                <w:szCs w:val="20"/>
                <w:lang w:eastAsia="en-AU"/>
              </w:rPr>
              <w:t xml:space="preserve"> was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TCar</w:t>
            </w:r>
            <w:proofErr w:type="spellEnd"/>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TC</w:t>
            </w:r>
            <w:r w:rsidR="00083999" w:rsidRPr="00B54A75">
              <w:rPr>
                <w:rFonts w:ascii="Calibri" w:eastAsia="Times New Roman" w:hAnsi="Calibri" w:cs="Calibri"/>
                <w:color w:val="000000"/>
                <w:sz w:val="20"/>
                <w:szCs w:val="20"/>
                <w:u w:val="single"/>
                <w:lang w:eastAsia="en-AU"/>
              </w:rPr>
              <w:t>s</w:t>
            </w:r>
            <w:r w:rsidRPr="00B54A75">
              <w:rPr>
                <w:rFonts w:ascii="Calibri" w:eastAsia="Times New Roman" w:hAnsi="Calibri" w:cs="Calibri"/>
                <w:color w:val="000000"/>
                <w:sz w:val="20"/>
                <w:szCs w:val="20"/>
                <w:u w:val="single"/>
                <w:lang w:eastAsia="en-AU"/>
              </w:rPr>
              <w:t xml:space="preserve"> </w:t>
            </w:r>
            <w:r w:rsidR="00AC73C6" w:rsidRPr="00B54A75">
              <w:rPr>
                <w:rFonts w:ascii="Calibri" w:eastAsia="Times New Roman" w:hAnsi="Calibri" w:cs="Calibri"/>
                <w:color w:val="000000"/>
                <w:sz w:val="20"/>
                <w:szCs w:val="20"/>
                <w:lang w:eastAsia="en-AU"/>
              </w:rPr>
              <w:t>was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TCar</w:t>
            </w:r>
            <w:proofErr w:type="spellEnd"/>
            <w:r w:rsidRPr="00B54A75">
              <w:rPr>
                <w:rFonts w:ascii="Calibri" w:eastAsia="Times New Roman" w:hAnsi="Calibri" w:cs="Calibri"/>
                <w:color w:val="000000"/>
                <w:sz w:val="20"/>
                <w:szCs w:val="20"/>
                <w:lang w:eastAsia="en-AU"/>
              </w:rPr>
              <w:t xml:space="preserve"> (unadjusted analysis only)</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gramStart"/>
            <w:r w:rsidRPr="00B54A75">
              <w:rPr>
                <w:rFonts w:ascii="Calibri" w:eastAsia="Times New Roman" w:hAnsi="Calibri" w:cs="Calibri"/>
                <w:color w:val="000000"/>
                <w:sz w:val="20"/>
                <w:szCs w:val="20"/>
                <w:u w:val="single"/>
                <w:lang w:eastAsia="en-AU"/>
              </w:rPr>
              <w:t>MMA</w:t>
            </w:r>
            <w:r w:rsidRPr="00B54A75">
              <w:rPr>
                <w:rFonts w:ascii="Calibri" w:eastAsia="Times New Roman" w:hAnsi="Calibri" w:cs="Calibri"/>
                <w:color w:val="000000"/>
                <w:sz w:val="20"/>
                <w:szCs w:val="20"/>
                <w:lang w:eastAsia="en-AU"/>
              </w:rPr>
              <w:t xml:space="preserve">  &amp;</w:t>
            </w:r>
            <w:proofErr w:type="gramEnd"/>
            <w:r w:rsidRPr="00B54A75">
              <w:rPr>
                <w:rFonts w:ascii="Calibri" w:eastAsia="Times New Roman" w:hAnsi="Calibri" w:cs="Calibri"/>
                <w:color w:val="000000"/>
                <w:sz w:val="20"/>
                <w:szCs w:val="20"/>
                <w:lang w:eastAsia="en-AU"/>
              </w:rPr>
              <w:t xml:space="preserve"> </w:t>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00AC73C6" w:rsidRPr="00B54A75">
              <w:rPr>
                <w:rFonts w:ascii="Calibri" w:eastAsia="Times New Roman" w:hAnsi="Calibri" w:cs="Calibri"/>
                <w:color w:val="000000"/>
                <w:sz w:val="20"/>
                <w:szCs w:val="20"/>
                <w:lang w:eastAsia="en-AU"/>
              </w:rPr>
              <w:t xml:space="preserve"> was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 </w:t>
            </w:r>
            <w:proofErr w:type="spellStart"/>
            <w:r w:rsidRPr="00B54A75">
              <w:rPr>
                <w:rFonts w:ascii="Calibri" w:eastAsia="Times New Roman" w:hAnsi="Calibri" w:cs="Calibri"/>
                <w:color w:val="000000"/>
                <w:sz w:val="20"/>
                <w:szCs w:val="20"/>
                <w:lang w:eastAsia="en-AU"/>
              </w:rPr>
              <w:t>TCar</w:t>
            </w:r>
            <w:proofErr w:type="spellEnd"/>
            <w:r w:rsidRPr="00B54A75">
              <w:rPr>
                <w:rFonts w:ascii="Calibri" w:eastAsia="Times New Roman" w:hAnsi="Calibri" w:cs="Calibri"/>
                <w:color w:val="000000"/>
                <w:sz w:val="20"/>
                <w:szCs w:val="20"/>
                <w:lang w:eastAsia="en-AU"/>
              </w:rPr>
              <w:t xml:space="preserve"> (unadjusted analysis only) </w:t>
            </w:r>
          </w:p>
        </w:tc>
      </w:tr>
      <w:tr w:rsidR="009321E8" w:rsidRPr="00B54A75" w:rsidTr="00222F25">
        <w:trPr>
          <w:trHeight w:val="825"/>
        </w:trPr>
        <w:tc>
          <w:tcPr>
            <w:tcW w:w="1840" w:type="dxa"/>
            <w:tcBorders>
              <w:top w:val="nil"/>
              <w:left w:val="nil"/>
              <w:bottom w:val="nil"/>
              <w:right w:val="nil"/>
            </w:tcBorders>
            <w:shd w:val="clear" w:color="auto" w:fill="auto"/>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Sachdev et al.</w:t>
            </w:r>
            <w:r w:rsidR="003114C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"Sachdev", "given" : "P.", "non-dropping-particle" : "", "parse-names" : false, "suffix" : "" }, { "dropping-particle" : "", "family" : "Parslow", "given" : "R.", "non-dropping-particle" : "", "parse-names" : false, "suffix" : "" }, { "dropping-particle" : "", "family" : "Salonikas", "given" : "C.", "non-dropping-particle" : "", "parse-names" : false, "suffix" : "" }, { "dropping-particle" : "", "family" : "Lux", "given" : "O.", "non-dropping-particle" : "", "parse-names" : false, "suffix" : "" }, { "dropping-particle" : "", "family" : "Wen", "given" : "W.", "non-dropping-particle" : "", "parse-names" : false, "suffix" : "" }, { "dropping-particle" : "", "family" : "Kumar", "given" : "R.", "non-dropping-particle" : "", "parse-names" : false, "suffix" : "" }, { "dropping-particle" : "", "family" : "Naidoo", "given" : "D.", "non-dropping-particle" : "", "parse-names" : false, "suffix" : "" }, { "dropping-particle" : "", "family" : "Christensen", "given" : "H.", "non-dropping-particle" : "", "parse-names" : false, "suffix" : "" }, { "dropping-particle" : "", "family" : "Jorm", "given" : "A.", "non-dropping-particle" : "", "parse-names" : false, "suffix" : "" } ], "container-title" : "Archives of Neurology", "id" : "ITEM-1", "issued" : { "date-parts" : [ [ "2004" ] ] }, "page" : "1369-1376", "title" : "Homocysteine and the brain in midadult life: Evidence for an increased risk of leukoaraiosis in men", "type" : "article-journal", "volume" : "61" }, "uris" : [ "http://www.mendeley.com/documents/?uuid=cc417656-11c1-4148-b568-b8dcd31e8e7d" ] } ], "mendeley" : { "formattedCitation" : "&lt;sup&gt;(18)&lt;/sup&gt;", "plainTextFormattedCitation" : "(18)", "previouslyFormattedCitation" : "&lt;sup&gt;(18)&lt;/sup&gt;" }, "properties" : { "noteIndex" : 0 }, "schema" : "https://github.com/citation-style-language/schema/raw/master/csl-citation.json" }</w:instrText>
            </w:r>
            <w:r w:rsidR="003114C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(18)</w:t>
            </w:r>
            <w:r w:rsidR="003114C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auto" w:fill="auto"/>
            <w:vAlign w:val="bottom"/>
            <w:hideMark/>
          </w:tcPr>
          <w:p w:rsidR="00112011" w:rsidRPr="00070EC0" w:rsidRDefault="002C1387" w:rsidP="00112011">
            <w:pPr>
              <w:spacing w:after="0" w:line="240" w:lineRule="auto"/>
              <w:rPr>
                <w:rFonts w:ascii="Calibri" w:eastAsia="Times New Roman" w:hAnsi="Calibri" w:cs="Calibri"/>
                <w:color w:val="000000"/>
                <w:sz w:val="20"/>
                <w:szCs w:val="20"/>
                <w:lang w:eastAsia="en-AU"/>
              </w:rPr>
            </w:pPr>
            <w:r w:rsidRPr="00070EC0">
              <w:rPr>
                <w:rFonts w:ascii="Calibri" w:eastAsia="Times New Roman" w:hAnsi="Calibri" w:cs="Calibri"/>
                <w:color w:val="000000"/>
                <w:sz w:val="20"/>
                <w:szCs w:val="20"/>
                <w:lang w:eastAsia="en-AU"/>
              </w:rPr>
              <w:t>DF</w:t>
            </w:r>
            <w:r w:rsidR="00070EC0" w:rsidRPr="00070EC0">
              <w:rPr>
                <w:rFonts w:cstheme="minorHAnsi"/>
              </w:rPr>
              <w:t>§</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385</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62.64 (M)</w:t>
            </w:r>
            <w:r w:rsidRPr="00B54A75">
              <w:rPr>
                <w:rFonts w:ascii="Calibri" w:eastAsia="Times New Roman" w:hAnsi="Calibri" w:cs="Calibri"/>
                <w:color w:val="000000"/>
                <w:sz w:val="20"/>
                <w:szCs w:val="20"/>
                <w:lang w:eastAsia="en-AU"/>
              </w:rPr>
              <w:br/>
              <w:t>62.59 (F)</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1.43 (M)</w:t>
            </w:r>
            <w:r w:rsidRPr="00B54A75">
              <w:rPr>
                <w:rFonts w:ascii="Calibri" w:eastAsia="Times New Roman" w:hAnsi="Calibri" w:cs="Calibri"/>
                <w:color w:val="000000"/>
                <w:sz w:val="20"/>
                <w:szCs w:val="20"/>
                <w:lang w:eastAsia="en-AU"/>
              </w:rPr>
              <w:br/>
              <w:t>1.45 (F)</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(MRI)</w:t>
            </w:r>
            <w:r w:rsidRPr="00B54A75">
              <w:rPr>
                <w:rFonts w:ascii="Calibri" w:eastAsia="Times New Roman" w:hAnsi="Calibri" w:cs="Calibri"/>
                <w:b/>
                <w:bCs/>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00AC73C6" w:rsidRPr="00B54A75">
              <w:rPr>
                <w:rFonts w:ascii="Calibri" w:eastAsia="Times New Roman" w:hAnsi="Calibri" w:cs="Calibri"/>
                <w:color w:val="000000"/>
                <w:sz w:val="20"/>
                <w:szCs w:val="20"/>
                <w:lang w:eastAsia="en-AU"/>
              </w:rPr>
              <w:t xml:space="preserve">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Deep </w:t>
            </w:r>
            <w:proofErr w:type="spellStart"/>
            <w:r w:rsidRPr="00B54A75">
              <w:rPr>
                <w:rFonts w:ascii="Calibri" w:eastAsia="Times New Roman" w:hAnsi="Calibri" w:cs="Calibri"/>
                <w:color w:val="000000"/>
                <w:sz w:val="20"/>
                <w:szCs w:val="20"/>
                <w:lang w:eastAsia="en-AU"/>
              </w:rPr>
              <w:t>WMHv</w:t>
            </w:r>
            <w:proofErr w:type="spellEnd"/>
          </w:p>
        </w:tc>
      </w:tr>
      <w:tr w:rsidR="008251F9" w:rsidRPr="00B54A75" w:rsidTr="00222F25">
        <w:trPr>
          <w:trHeight w:val="1095"/>
        </w:trPr>
        <w:tc>
          <w:tcPr>
            <w:tcW w:w="1840" w:type="dxa"/>
            <w:tcBorders>
              <w:top w:val="nil"/>
              <w:left w:val="nil"/>
              <w:bottom w:val="nil"/>
              <w:right w:val="nil"/>
            </w:tcBorders>
            <w:shd w:val="clear" w:color="000000" w:fill="D9D9D9"/>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 xml:space="preserve">den </w:t>
            </w:r>
            <w:proofErr w:type="spellStart"/>
            <w:r w:rsidRPr="00B54A75">
              <w:rPr>
                <w:rFonts w:ascii="Calibri" w:eastAsia="Times New Roman" w:hAnsi="Calibri" w:cs="Calibri"/>
                <w:color w:val="000000"/>
                <w:sz w:val="20"/>
                <w:szCs w:val="20"/>
                <w:lang w:eastAsia="en-AU"/>
              </w:rPr>
              <w:t>Heijer</w:t>
            </w:r>
            <w:proofErr w:type="spellEnd"/>
            <w:r w:rsidRPr="00B54A75">
              <w:rPr>
                <w:rFonts w:ascii="Calibri" w:eastAsia="Times New Roman" w:hAnsi="Calibri" w:cs="Calibri"/>
                <w:color w:val="000000"/>
                <w:sz w:val="20"/>
                <w:szCs w:val="20"/>
                <w:lang w:eastAsia="en-AU"/>
              </w:rPr>
              <w:t xml:space="preserve"> et al.</w:t>
            </w:r>
            <w:r w:rsidR="003114C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"10.1093/brain/awg006", "ISSN" : "14602156", "author" : [ { "dropping-particle" : "", "family" : "Heijer", "given" : "T.", "non-dropping-particle" : "den", "parse-names" : false, "suffix" : "" }, { "dropping-particle" : "", "family" : "Vermeer", "given" : "S.E.", "non-dropping-particle" : "", "parse-names" : false, "suffix" : "" }, { "dropping-particle" : "", "family" : "Clarke", "given" : "R.", "non-dropping-particle" : "", "parse-names" : false, "suffix" : "" }, { "dropping-particle" : "", "family" : "Oudkerk", "given" : "M.", "non-dropping-particle" : "", "parse-names" : false, "suffix" : "" }, { "dropping-particle" : "", "family" : "Koudstaal", "given" : "P.J.", "non-dropping-particle" : "", "parse-names" : false, "suffix" : "" }, { "dropping-particle" : "", "family" : "Hofman", "given" : "A.", "non-dropping-particle" : "", "parse-names" : false, "suffix" : "" }, { "dropping-particle" : "", "family" : "Breteler", "given" : "M.M.B.", "non-dropping-particle" : "", "parse-names" : false, "suffix" : "" } ], "container-title" : "Brain", "id" : "ITEM-1", "issued" : { "date-parts" : [ [ "2003", "1", "1" ] ] }, "page" : "170-175", "title" : "Homocysteine and brain atrophy on MRI of non-demented elderly", "type" : "article-journal", "volume" : "126" }, "uris" : [ "http://www.mendeley.com/documents/?uuid=f22a57e0-0694-479b-9d4e-a84e5a742ffe" ] } ], "mendeley" : { "formattedCitation" : "&lt;sup&gt;(19)&lt;/sup&gt;", "plainTextFormattedCitation" : "(19)", "previouslyFormattedCitation" : "&lt;sup&gt;(19)&lt;/sup&gt;" }, "properties" : { "noteIndex" : 0 }, "schema" : "https://github.com/citation-style-language/schema/raw/master/csl-citation.json" }</w:instrText>
            </w:r>
            <w:r w:rsidR="003114C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(19)</w:t>
            </w:r>
            <w:r w:rsidR="003114C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1,031</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60.0 - 90.0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72.0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w:t>
            </w:r>
            <w:r w:rsidR="00AC73C6" w:rsidRPr="00B54A75">
              <w:rPr>
                <w:rFonts w:ascii="Calibri" w:eastAsia="Times New Roman" w:hAnsi="Calibri" w:cs="Calibri"/>
                <w:color w:val="000000"/>
                <w:sz w:val="20"/>
                <w:szCs w:val="20"/>
                <w:lang w:eastAsia="en-AU"/>
              </w:rPr>
              <w:t xml:space="preserve">   ↑ Cortical atrophy</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 </w:t>
            </w:r>
            <w:proofErr w:type="spellStart"/>
            <w:r w:rsidRPr="00B54A75">
              <w:rPr>
                <w:rFonts w:ascii="Calibri" w:eastAsia="Times New Roman" w:hAnsi="Calibri" w:cs="Calibri"/>
                <w:color w:val="000000"/>
                <w:sz w:val="20"/>
                <w:szCs w:val="20"/>
                <w:lang w:eastAsia="en-AU"/>
              </w:rPr>
              <w:t>HCv</w:t>
            </w:r>
            <w:proofErr w:type="spellEnd"/>
            <w:r w:rsidRPr="00B54A75">
              <w:rPr>
                <w:rFonts w:ascii="Calibri" w:eastAsia="Times New Roman" w:hAnsi="Calibri" w:cs="Calibri"/>
                <w:color w:val="000000"/>
                <w:sz w:val="20"/>
                <w:szCs w:val="20"/>
                <w:lang w:eastAsia="en-AU"/>
              </w:rPr>
              <w:t xml:space="preserve"> </w:t>
            </w:r>
          </w:p>
        </w:tc>
      </w:tr>
      <w:tr w:rsidR="009321E8" w:rsidRPr="00B54A75" w:rsidTr="00222F25">
        <w:trPr>
          <w:trHeight w:val="810"/>
        </w:trPr>
        <w:tc>
          <w:tcPr>
            <w:tcW w:w="1840" w:type="dxa"/>
            <w:tcBorders>
              <w:top w:val="nil"/>
              <w:left w:val="nil"/>
              <w:bottom w:val="nil"/>
              <w:right w:val="nil"/>
            </w:tcBorders>
            <w:shd w:val="clear" w:color="auto" w:fill="auto"/>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Whalley et al.</w:t>
            </w:r>
            <w:r w:rsidR="003114C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"10.1016/S0304-3940(02)01452-0", "ISSN" : "03043940", "author" : [ { "dropping-particle" : "", "family" : "Whalley", "given" : "L.J.", "non-dropping-particle" : "", "parse-names" : false, "suffix" : "" }, { "dropping-particle" : "", "family" : "Staff", "given" : "R.T.", "non-dropping-particle" : "", "parse-names" : false, "suffix" : "" }, { "dropping-particle" : "", "family" : "Murray", "given" : "A.D.", "non-dropping-particle" : "", "parse-names" : false, "suffix" : "" }, { "dropping-particle" : "", "family" : "Duthie", "given" : "S.J.", "non-dropping-particle" : "", "parse-names" : false, "suffix" : "" }, { "dropping-particle" : "", "family" : "Collins", "given" : "A.R.", "non-dropping-particle" : "", "parse-names" : false, "suffix" : "" }, { "dropping-particle" : "", "family" : "Lemmon", "given" : "H.a.", "non-dropping-particle" : "", "parse-names" : false, "suffix" : "" }, { "dropping-particle" : "", "family" : "Starr", "given" : "J.M.", "non-dropping-particle" : "", "parse-names" : false, "suffix" : "" }, { "dropping-particle" : "", "family" : "Deary", "given" : "I.J.", "non-dropping-particle" : "", "parse-names" : false, "suffix" : "" } ], "container-title" : "Neuroscience Letters", "id" : "ITEM-1", "issued" : { "date-parts" : [ [ "2003", "5" ] ] }, "page" : "173-176", "title" : "Plasma vitamin C, cholesterol and homocysteine are associated with grey matter volume determined by MRI in non-demented old people", "type" : "article-journal", "volume" : "341" }, "uris" : [ "http://www.mendeley.com/documents/?uuid=8b27d344-f7e5-4b20-98bb-aa37df8cf244" ] } ], "mendeley" : { "formattedCitation" : "&lt;sup&gt;(20)&lt;/sup&gt;", "plainTextFormattedCitation" : "(20)", "previouslyFormattedCitation" : "&lt;sup&gt;(20)&lt;/sup&gt;" }, "properties" : { "noteIndex" : 0 }, "schema" : "https://github.com/citation-style-language/schema/raw/master/csl-citation.json" }</w:instrText>
            </w:r>
            <w:r w:rsidR="003114C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(20)</w:t>
            </w:r>
            <w:r w:rsidR="003114C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82</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77.70 -78.90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78.50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t>
            </w:r>
            <w:r w:rsidR="00AC73C6" w:rsidRPr="00B54A75">
              <w:rPr>
                <w:rFonts w:ascii="Calibri" w:eastAsia="Times New Roman" w:hAnsi="Calibri" w:cs="Calibri"/>
                <w:color w:val="000000"/>
                <w:sz w:val="20"/>
                <w:szCs w:val="20"/>
                <w:lang w:eastAsia="en-AU"/>
              </w:rPr>
              <w:t>was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TC-</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w:t>
            </w:r>
          </w:p>
        </w:tc>
      </w:tr>
      <w:tr w:rsidR="008251F9" w:rsidRPr="00B54A75" w:rsidTr="00222F25">
        <w:trPr>
          <w:trHeight w:val="945"/>
        </w:trPr>
        <w:tc>
          <w:tcPr>
            <w:tcW w:w="1840" w:type="dxa"/>
            <w:tcBorders>
              <w:top w:val="nil"/>
              <w:left w:val="nil"/>
              <w:bottom w:val="nil"/>
              <w:right w:val="nil"/>
            </w:tcBorders>
            <w:shd w:val="clear" w:color="000000" w:fill="D9D9D9"/>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Sachdev et al.</w:t>
            </w:r>
            <w:r w:rsidR="003114CA"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"Sachdev", "given" : "P.S.", "non-dropping-particle" : "", "parse-names" : false, "suffix" : "" }, { "dropping-particle" : "", "family" : "Valenzuela", "given" : "M.", "non-dropping-particle" : "", "parse-names" : false, "suffix" : "" }, { "dropping-particle" : "", "family" : "Wang", "given" : "X.L.", "non-dropping-particle" : "", "parse-names" : false, "suffix" : "" }, { "dropping-particle" : "", "family" : "Looi", "given" : "J.C.L.", "non-dropping-particle" : "", "parse-names" : false, "suffix" : "" }, { "dropping-particle" : "", "family" : "Brodaty", "given" : "H.", "non-dropping-particle" : "", "parse-names" : false, "suffix" : "" } ], "container-title" : "Neurology", "id" : "ITEM-1", "issued" : { "date-parts" : [ [ "2002" ] ] }, "page" : "1539-1541", "title" : "Relationship between plasma homocysteine levels and brain atrophy in healthy elderly individuals", "type" : "article-journal", "volume" : "58" }, "uris" : [ "http://www.mendeley.com/documents/?uuid=7215869c-4a92-4aa4-954d-f32e56fa7268" ] } ], "mendeley" : { "formattedCitation" : "&lt;sup&gt;(21)&lt;/sup&gt;", "plainTextFormattedCitation" : "(21)", "previouslyFormattedCitation" : "&lt;sup&gt;(21)&lt;/sup&gt;" }, "properties" : { "noteIndex" : 0 }, "schema" : "https://github.com/citation-style-language/schema/raw/master/csl-citation.json" }</w:instrText>
            </w:r>
            <w:r w:rsidR="003114CA"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(21)</w:t>
            </w:r>
            <w:r w:rsidR="003114CA"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36</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59.0 - 85.0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71.60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t>
            </w:r>
            <w:r w:rsidR="00AC73C6" w:rsidRPr="00B54A75">
              <w:rPr>
                <w:rFonts w:ascii="Calibri" w:eastAsia="Times New Roman" w:hAnsi="Calibri" w:cs="Calibri"/>
                <w:color w:val="000000"/>
                <w:sz w:val="20"/>
                <w:szCs w:val="20"/>
                <w:lang w:eastAsia="en-AU"/>
              </w:rPr>
              <w:t>was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Ventricle:brain</w:t>
            </w:r>
            <w:proofErr w:type="spellEnd"/>
            <w:r w:rsidRPr="00B54A75">
              <w:rPr>
                <w:rFonts w:ascii="Calibri" w:eastAsia="Times New Roman" w:hAnsi="Calibri" w:cs="Calibri"/>
                <w:color w:val="000000"/>
                <w:sz w:val="20"/>
                <w:szCs w:val="20"/>
                <w:lang w:eastAsia="en-AU"/>
              </w:rPr>
              <w:t xml:space="preserve"> ratio </w:t>
            </w:r>
          </w:p>
        </w:tc>
      </w:tr>
      <w:tr w:rsidR="009321E8" w:rsidRPr="00B54A75" w:rsidTr="00222F25">
        <w:trPr>
          <w:trHeight w:val="1170"/>
        </w:trPr>
        <w:tc>
          <w:tcPr>
            <w:tcW w:w="1840" w:type="dxa"/>
            <w:tcBorders>
              <w:top w:val="nil"/>
              <w:left w:val="nil"/>
              <w:bottom w:val="nil"/>
              <w:right w:val="nil"/>
            </w:tcBorders>
            <w:shd w:val="clear" w:color="auto" w:fill="auto"/>
            <w:vAlign w:val="bottom"/>
            <w:hideMark/>
          </w:tcPr>
          <w:p w:rsidR="00112011" w:rsidRPr="00B54A75" w:rsidRDefault="00A85A6A"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Vermeer et al.</w:t>
            </w:r>
            <w:r w:rsidR="00AC50B4"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"10.1002/ana.10111", "ISSN" : "0364-5134", "PMID" : "11891822", "abstract" : "Silent brain infarcts and white matter lesions are frequently seen on magnetic resonance imaging in healthy elderly people and both are associated with an increased risk of stroke and dementia. Plasma total homocysteine may be a potentially modifiable risk factor for stroke and dementia. We examined whether elevated total homocysteine levels are associated with silent brain infarcts and white matter lesions. The Rotterdam Scan Study is a population-based study of 1,077 people aged 60 to 90 years who had cerebral magnetic resonance imaging. The cross-sectional relation of total homocysteine with silent infarcts and white matter lesions was analyzed with adjustment for cardiovascular risk factors. The mean plasma total homocysteine level was 11.5 micromol/l (standard deviation 4.1). The risk of silent brain infarcts increased with increasing total homocysteine levels (odds ratio 1.24/standard deviation increase, 95% confidence interval 1.06-1.45). The severity of periventricular white matter lesions and extent of subcortical white matter lesions were also significantly associated with total homocysteine levels, even after excluding those with silent brain infarcts. The overall risk of having either a silent brain infarct or severe white matter lesions was strongly associated with total homocysteine levels (odds ratio 1.35/standard deviation increase, 95% confidence interval 1.16-1.58). We concluded that total homocysteine levels are associated with silent brain infarcts and white matter lesions independent of each other and of other cardiovascular risk factors.", "author" : [ { "dropping-particle" : "", "family" : "Vermeer", "given" : "Sarah E", "non-dropping-particle" : "", "parse-names" : false, "suffix" : "" }, { "dropping-particle" : "", "family" : "Dijk", "given" : "Ewoud J", "non-dropping-particle" : "van", "parse-names" : false, "suffix" : "" }, { "dropping-particle" : "", "family" : "Koudstaal", "given" : "Peter J", "non-dropping-particle" : "", "parse-names" : false, "suffix" : "" }, { "dropping-particle" : "", "family" : "Oudkerk", "given" : "Matthijs", "non-dropping-particle" : "", "parse-names" : false, "suffix" : "" }, { "dropping-particle" : "", "family" : "Hofman", "given" : "Albert", "non-dropping-particle" : "", "parse-names" : false, "suffix" : "" }, { "dropping-particle" : "", "family" : "Clarke", "given" : "Robert", "non-dropping-particle" : "", "parse-names" : false, "suffix" : "" }, { "dropping-particle" : "", "family" : "Breteler", "given" : "Monique M B", "non-dropping-particle" : "", "parse-names" : false, "suffix" : "" } ], "container-title" : "Annals of neurology", "id" : "ITEM-1", "issued" : { "date-parts" : [ [ "2002", "3" ] ] }, "page" : "285-289", "title" : "Homocysteine, silent brain infarcts, and white matter lesions: The Rotterdam Scan Study", "type" : "article-journal", "volume" : "51" }, "uris" : [ "http://www.mendeley.com/documents/?uuid=7dfd8bd0-e47f-4089-a09f-7bd77ad5d958" ] } ], "mendeley" : { "formattedCitation" : "&lt;sup&gt;(22)&lt;/sup&gt;", "plainTextFormattedCitation" : "(22)", "previouslyFormattedCitation" : "&lt;sup&gt;(22)&lt;/sup&gt;" }, "properties" : { "noteIndex" : 0 }, "schema" : "https://github.com/citation-style-language/schema/raw/master/csl-citation.json" }</w:instrText>
            </w:r>
            <w:r w:rsidR="00AC50B4"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(22)</w:t>
            </w:r>
            <w:r w:rsidR="00AC50B4"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1,077</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60.0 - 90.0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72.20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7.40</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w:t>
            </w:r>
            <w:r w:rsidR="00AC73C6" w:rsidRPr="00B54A75">
              <w:rPr>
                <w:rFonts w:ascii="Calibri" w:eastAsia="Times New Roman" w:hAnsi="Calibri" w:cs="Calibri"/>
                <w:color w:val="000000"/>
                <w:sz w:val="20"/>
                <w:szCs w:val="20"/>
                <w:lang w:eastAsia="en-AU"/>
              </w:rPr>
              <w:t xml:space="preserve">  ↑ Severity of WML</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Severity of SBI </w:t>
            </w:r>
          </w:p>
        </w:tc>
      </w:tr>
      <w:tr w:rsidR="008251F9" w:rsidRPr="00B54A75" w:rsidTr="00222F25">
        <w:trPr>
          <w:trHeight w:val="840"/>
        </w:trPr>
        <w:tc>
          <w:tcPr>
            <w:tcW w:w="1840" w:type="dxa"/>
            <w:tcBorders>
              <w:top w:val="nil"/>
              <w:left w:val="nil"/>
              <w:bottom w:val="nil"/>
              <w:right w:val="nil"/>
            </w:tcBorders>
            <w:shd w:val="clear" w:color="000000" w:fill="D9D9D9"/>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Williams et al.</w:t>
            </w:r>
            <w:r w:rsidR="00AC50B4"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"Williams", "given" : "J.H.", "non-dropping-particle" : "", "parse-names" : false, "suffix" : "" }, { "dropping-particle" : "", "family" : "Periera", "given" : "E.A.C.", "non-dropping-particle" : "", "parse-names" : false, "suffix" : "" }, { "dropping-particle" : "", "family" : "Budge", "given" : "M.M.", "non-dropping-particle" : "", "parse-names" : false, "suffix" : "" }, { "dropping-particle" : "", "family" : "Bradley", "given" : "K.M.", "non-dropping-particle" : "", "parse-names" : false, "suffix" : "" } ], "container-title" : "Age and Ageing", "id" : "ITEM-1", "issued" : { "date-parts" : [ [ "2002" ] ] }, "page" : "440-444", "title" : "Minimal hippocampal width relates to plasma homocysteine in community-dwelling older people", "type" : "article-journal", "volume" : "31" }, "uris" : [ "http://www.mendeley.com/documents/?uuid=e2546201-e5a9-40ad-84f9-5e218477e1d9" ] } ], "mendeley" : { "formattedCitation" : "&lt;sup&gt;(23)&lt;/sup&gt;", "plainTextFormattedCitation" : "(23)", "previouslyFormattedCitation" : "&lt;sup&gt;(23)&lt;/sup&gt;" }, "properties" : { "noteIndex" : 0 }, "schema" : "https://github.com/citation-style-language/schema/raw/master/csl-citation.json" }</w:instrText>
            </w:r>
            <w:r w:rsidR="00AC50B4"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(23)</w:t>
            </w:r>
            <w:r w:rsidR="00AC50B4"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HcY</w:t>
            </w:r>
            <w:proofErr w:type="spellEnd"/>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156</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60.80 - 90.60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74.10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6.10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HcY</w:t>
            </w:r>
            <w:proofErr w:type="spellEnd"/>
            <w:r w:rsidRPr="00B54A75">
              <w:rPr>
                <w:rFonts w:ascii="Calibri" w:eastAsia="Times New Roman" w:hAnsi="Calibri" w:cs="Calibri"/>
                <w:color w:val="000000"/>
                <w:sz w:val="20"/>
                <w:szCs w:val="20"/>
                <w:lang w:eastAsia="en-AU"/>
              </w:rPr>
              <w:t xml:space="preserve"> w</w:t>
            </w:r>
            <w:r w:rsidR="00AC73C6" w:rsidRPr="00B54A75">
              <w:rPr>
                <w:rFonts w:ascii="Calibri" w:eastAsia="Times New Roman" w:hAnsi="Calibri" w:cs="Calibri"/>
                <w:color w:val="000000"/>
                <w:sz w:val="20"/>
                <w:szCs w:val="20"/>
                <w:lang w:eastAsia="en-AU"/>
              </w:rPr>
              <w:t>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HC width </w:t>
            </w:r>
          </w:p>
        </w:tc>
      </w:tr>
      <w:tr w:rsidR="009321E8" w:rsidRPr="00B54A75" w:rsidTr="00222F25">
        <w:trPr>
          <w:trHeight w:val="345"/>
        </w:trPr>
        <w:tc>
          <w:tcPr>
            <w:tcW w:w="184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r w:rsidRPr="00B54A75">
              <w:rPr>
                <w:rFonts w:ascii="Calibri" w:eastAsia="Times New Roman" w:hAnsi="Calibri" w:cs="Calibri"/>
                <w:b/>
                <w:bCs/>
                <w:iCs/>
                <w:color w:val="000000"/>
                <w:sz w:val="20"/>
                <w:szCs w:val="20"/>
                <w:lang w:eastAsia="en-AU"/>
              </w:rPr>
              <w:t>Choline</w:t>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r>
      <w:tr w:rsidR="008251F9" w:rsidRPr="00B54A75" w:rsidTr="00222F25">
        <w:trPr>
          <w:trHeight w:val="825"/>
        </w:trPr>
        <w:tc>
          <w:tcPr>
            <w:tcW w:w="1840" w:type="dxa"/>
            <w:tcBorders>
              <w:top w:val="nil"/>
              <w:left w:val="nil"/>
              <w:bottom w:val="nil"/>
              <w:right w:val="nil"/>
            </w:tcBorders>
            <w:shd w:val="clear" w:color="000000" w:fill="D9D9D9"/>
            <w:vAlign w:val="bottom"/>
            <w:hideMark/>
          </w:tcPr>
          <w:p w:rsidR="00112011" w:rsidRPr="00B54A75" w:rsidRDefault="00A85A6A" w:rsidP="00F71ADF">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Poly et al.</w:t>
            </w:r>
            <w:r w:rsidR="001B6432"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"10.3945/ajcn.110.008938.1", "author" : [ { "dropping-particle" : "", "family" : "Poly", "given" : "Coreyann", "non-dropping-particle" : "", "parse-names" : false, "suffix" : "" }, { "dropping-particle" : "", "family" : "Massaro", "given" : "Joseph M", "non-dropping-particle" : "", "parse-names" : false, "suffix" : "" }, { "dropping-particle" : "", "family" : "Seshadri", "given" : "Sudha", "non-dropping-particle" : "", "parse-names" : false, "suffix" : "" }, { "dropping-particle" : "", "family" : "Wolf", "given" : "Philip A", "non-dropping-particle" : "", "parse-names" : false, "suffix" : "" }, { "dropping-particle" : "", "family" : "Cho", "given" : "Eunyoung", "non-dropping-particle" : "", "parse-names" : false, "suffix" : "" }, { "dropping-particle" : "", "family" : "Krall", "given" : "Elizabeth", "non-dropping-particle" : "", "parse-names" : false, "suffix" : "" }, { "dropping-particle" : "", "family" : "Jacques", "given" : "Paul F", "non-dropping-particle" : "", "parse-names" : false, "suffix" : "" }, { "dropping-particle" : "", "family" : "Au", "given" : "Rhoda", "non-dropping-particle" : "", "parse-names" : false, "suffix" : "" } ], "container-title" : "The American Journal of Clinical Nutrition", "id" : "ITEM-1", "issued" : { "date-parts" : [ [ "2011" ] ] }, "page" : "1584-1591", "title" : "The relation of dietary choline to cognitive performance and white-matter hyperintensity in the Framingham Offspring Cohort", "type" : "article-journal", "volume" : "94" }, "uris" : [ "http://www.mendeley.com/documents/?uuid=7617a97d-7e78-4dcb-8ee7-812fdb1ae462" ] } ], "mendeley" : { "formattedCitation" : "&lt;sup&gt;(24)&lt;/sup&gt;", "plainTextFormattedCitation" : "(24)", "previouslyFormattedCitation" : "&lt;sup&gt;(24)&lt;/sup&gt;" }, "properties" : { "noteIndex" : 0 }, "schema" : "https://github.com/citation-style-language/schema/raw/master/csl-citation.json" }</w:instrText>
            </w:r>
            <w:r w:rsidR="001B6432"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(24)</w:t>
            </w:r>
            <w:r w:rsidR="001B6432"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Choline (FFQ)</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1,391</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36.0 - 83.0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60.80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9.30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Total choline intake</w:t>
            </w:r>
            <w:r w:rsidRPr="00B54A75">
              <w:rPr>
                <w:rFonts w:ascii="Calibri" w:eastAsia="Times New Roman" w:hAnsi="Calibri" w:cs="Calibri"/>
                <w:color w:val="000000"/>
                <w:sz w:val="20"/>
                <w:szCs w:val="20"/>
                <w:lang w:eastAsia="en-AU"/>
              </w:rPr>
              <w:t xml:space="preserve"> w</w:t>
            </w:r>
            <w:r w:rsidR="00AC73C6" w:rsidRPr="00B54A75">
              <w:rPr>
                <w:rFonts w:ascii="Calibri" w:eastAsia="Times New Roman" w:hAnsi="Calibri" w:cs="Calibri"/>
                <w:color w:val="000000"/>
                <w:sz w:val="20"/>
                <w:szCs w:val="20"/>
                <w:lang w:eastAsia="en-AU"/>
              </w:rPr>
              <w:t>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WMHv</w:t>
            </w:r>
            <w:proofErr w:type="spellEnd"/>
          </w:p>
        </w:tc>
      </w:tr>
      <w:tr w:rsidR="009321E8" w:rsidRPr="00B54A75" w:rsidTr="00222F25">
        <w:trPr>
          <w:trHeight w:val="315"/>
        </w:trPr>
        <w:tc>
          <w:tcPr>
            <w:tcW w:w="1840" w:type="dxa"/>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r w:rsidRPr="00B54A75">
              <w:rPr>
                <w:rFonts w:ascii="Calibri" w:eastAsia="Times New Roman" w:hAnsi="Calibri" w:cs="Calibri"/>
                <w:b/>
                <w:bCs/>
                <w:iCs/>
                <w:color w:val="000000"/>
                <w:sz w:val="20"/>
                <w:szCs w:val="20"/>
                <w:lang w:eastAsia="en-AU"/>
              </w:rPr>
              <w:lastRenderedPageBreak/>
              <w:t>Omega-3 Fatty Acids</w:t>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r>
      <w:tr w:rsidR="008251F9" w:rsidRPr="00B54A75" w:rsidTr="00222F25">
        <w:trPr>
          <w:trHeight w:val="840"/>
        </w:trPr>
        <w:tc>
          <w:tcPr>
            <w:tcW w:w="1840" w:type="dxa"/>
            <w:tcBorders>
              <w:top w:val="nil"/>
              <w:left w:val="nil"/>
              <w:bottom w:val="nil"/>
              <w:right w:val="nil"/>
            </w:tcBorders>
            <w:shd w:val="clear" w:color="000000" w:fill="D9D9D9"/>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Zamroziewicz</w:t>
            </w:r>
            <w:proofErr w:type="spellEnd"/>
            <w:r w:rsidRPr="00B54A75">
              <w:rPr>
                <w:rFonts w:ascii="Calibri" w:eastAsia="Times New Roman" w:hAnsi="Calibri" w:cs="Calibri"/>
                <w:color w:val="000000"/>
                <w:sz w:val="20"/>
                <w:szCs w:val="20"/>
                <w:lang w:eastAsia="en-AU"/>
              </w:rPr>
              <w:t xml:space="preserve"> et al.</w:t>
            </w:r>
            <w:r w:rsidR="00AC50B4"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"Zamroziewicz", "given" : "Marta K", "non-dropping-particle" : "", "parse-names" : false, "suffix" : "" }, { "dropping-particle" : "", "family" : "Paul", "given" : "Erick J", "non-dropping-particle" : "", "parse-names" : false, "suffix" : "" }, { "dropping-particle" : "", "family" : "Zwilling", "given" : "Chris E", "non-dropping-particle" : "", "parse-names" : false, "suffix" : "" }, { "dropping-particle" : "", "family" : "Barbey", "given" : "Aron K", "non-dropping-particle" : "", "parse-names" : false, "suffix" : "" } ], "container-title" : "Aging and Disease", "id" : "ITEM-1", "issued" : { "date-parts" : [ [ "2017" ] ] }, "page" : "372-383", "title" : "Predictors of memory in healthy aging: Polyunsaturated fatty acid balance and fornix white matter integrity", "type" : "article-journal", "volume" : "8" }, "uris" : [ "http://www.mendeley.com/documents/?uuid=2bb9a1a1-95c8-4bd0-8532-53d37231f20a" ] } ], "mendeley" : { "formattedCitation" : "&lt;sup&gt;(25)&lt;/sup&gt;", "plainTextFormattedCitation" : "(25)", "previouslyFormattedCitation" : "&lt;sup&gt;(25)&lt;/sup&gt;" }, "properties" : { "noteIndex" : 0 }, "schema" : "https://github.com/citation-style-language/schema/raw/master/csl-citation.json" }</w:instrText>
            </w:r>
            <w:r w:rsidR="00AC50B4"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(25)</w:t>
            </w:r>
            <w:r w:rsidR="00AC50B4"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ω3 &amp; ω6-FA</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CN</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94</w:t>
            </w:r>
          </w:p>
        </w:tc>
        <w:tc>
          <w:tcPr>
            <w:tcW w:w="1328" w:type="dxa"/>
            <w:tcBorders>
              <w:top w:val="nil"/>
              <w:left w:val="nil"/>
              <w:bottom w:val="nil"/>
              <w:right w:val="nil"/>
            </w:tcBorders>
            <w:shd w:val="clear" w:color="000000" w:fill="D9D9D9"/>
            <w:vAlign w:val="bottom"/>
            <w:hideMark/>
          </w:tcPr>
          <w:p w:rsidR="00112011" w:rsidRPr="00B54A75" w:rsidRDefault="00174DC3" w:rsidP="0011201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65 - 75</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69.0</w:t>
            </w:r>
          </w:p>
        </w:tc>
        <w:tc>
          <w:tcPr>
            <w:tcW w:w="1417" w:type="dxa"/>
            <w:tcBorders>
              <w:top w:val="nil"/>
              <w:left w:val="nil"/>
              <w:bottom w:val="nil"/>
              <w:right w:val="nil"/>
            </w:tcBorders>
            <w:shd w:val="clear" w:color="000000" w:fill="D9D9D9"/>
            <w:noWrap/>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LCPUFA score (various ω6 &amp; ω3-FA)</w:t>
            </w:r>
            <w:r w:rsidRPr="00B54A75">
              <w:rPr>
                <w:rFonts w:ascii="Calibri" w:eastAsia="Times New Roman" w:hAnsi="Calibri" w:cs="Calibri"/>
                <w:color w:val="000000"/>
                <w:sz w:val="20"/>
                <w:szCs w:val="20"/>
                <w:lang w:eastAsia="en-AU"/>
              </w:rPr>
              <w:t xml:space="preserve"> </w:t>
            </w:r>
            <w:r w:rsidR="00AC73C6" w:rsidRPr="00B54A75">
              <w:rPr>
                <w:rFonts w:ascii="Calibri" w:eastAsia="Times New Roman" w:hAnsi="Calibri" w:cs="Calibri"/>
                <w:color w:val="000000"/>
                <w:sz w:val="20"/>
                <w:szCs w:val="20"/>
                <w:lang w:eastAsia="en-AU"/>
              </w:rPr>
              <w:t>was associated with:</w:t>
            </w:r>
            <w:r w:rsidR="00AC73C6" w:rsidRPr="00B54A75">
              <w:rPr>
                <w:rFonts w:ascii="Calibri" w:eastAsia="Times New Roman" w:hAnsi="Calibri" w:cs="Calibri"/>
                <w:color w:val="000000"/>
                <w:sz w:val="20"/>
                <w:szCs w:val="20"/>
                <w:lang w:eastAsia="en-AU"/>
              </w:rPr>
              <w:br/>
              <w:t xml:space="preserve">          </w:t>
            </w:r>
            <w:r w:rsidR="00AC50B4" w:rsidRPr="00B54A75">
              <w:rPr>
                <w:rFonts w:ascii="Calibri" w:eastAsia="Times New Roman" w:hAnsi="Calibri" w:cs="Calibri"/>
                <w:color w:val="000000"/>
                <w:sz w:val="20"/>
                <w:szCs w:val="20"/>
                <w:lang w:eastAsia="en-AU"/>
              </w:rPr>
              <w:t>↑ WM microstructure within f</w:t>
            </w:r>
            <w:r w:rsidRPr="00B54A75">
              <w:rPr>
                <w:rFonts w:ascii="Calibri" w:eastAsia="Times New Roman" w:hAnsi="Calibri" w:cs="Calibri"/>
                <w:color w:val="000000"/>
                <w:sz w:val="20"/>
                <w:szCs w:val="20"/>
                <w:lang w:eastAsia="en-AU"/>
              </w:rPr>
              <w:t>ornix</w:t>
            </w:r>
          </w:p>
        </w:tc>
      </w:tr>
      <w:tr w:rsidR="009321E8" w:rsidRPr="00B54A75" w:rsidTr="00222F25">
        <w:trPr>
          <w:trHeight w:val="2145"/>
        </w:trPr>
        <w:tc>
          <w:tcPr>
            <w:tcW w:w="1840" w:type="dxa"/>
            <w:tcBorders>
              <w:top w:val="nil"/>
              <w:left w:val="nil"/>
              <w:bottom w:val="nil"/>
              <w:right w:val="nil"/>
            </w:tcBorders>
            <w:shd w:val="clear" w:color="auto" w:fill="auto"/>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Daiello</w:t>
            </w:r>
            <w:proofErr w:type="spellEnd"/>
            <w:r w:rsidRPr="00B54A75">
              <w:rPr>
                <w:rFonts w:ascii="Calibri" w:eastAsia="Times New Roman" w:hAnsi="Calibri" w:cs="Calibri"/>
                <w:color w:val="000000"/>
                <w:sz w:val="20"/>
                <w:szCs w:val="20"/>
                <w:lang w:eastAsia="en-AU"/>
              </w:rPr>
              <w:t xml:space="preserve"> et al.</w:t>
            </w:r>
            <w:r w:rsidR="00AC50B4"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"10.1016/j.jalz.2014.02.005", "ISSN" : "1552-5279", "PMID" : "24954371", "abstract" : "OBJECTIVE: The aim of this study was to investigate whether the use of fish oil supplements (FOSs) is associated with concomitant reduction in cognitive decline and brain atrophy in older adults. METHODS: We conducted a retrospective cohort study to examine the relationship between FOS use during the Alzheimer's Disease Neuroimaging Initiative and indicators of cognitive decline. Older adults (229 cognitively normal individuals, 397 patients with mild cognitive impairment, and 193 patients with Alzheimer's disease) were assessed with neuropsychological tests and brain magnetic resonance imaging every 6 months. Primary outcomes included (1) global cognitive status and (2) cerebral cortex gray matter and hippocampus and ventricular volumes. RESULTS: FOS use during follow-up was associated with significantly lower mean cognitive subscale of the Alzheimer's Disease Assessment Scale and higher Mini-Mental State Examination scores among those with normal cognition. Associations between FOS use and the outcomes were observed only in APOE \u03b54-negative participants. FOS use during the study was also associated with less atrophy in one or more brain regions of interest.", "author" : [ { "dropping-particle" : "", "family" : "Daiello", "given" : "Lori a", "non-dropping-particle" : "", "parse-names" : false, "suffix" : "" }, { "dropping-particle" : "", "family" : "Gongvatana", "given" : "Assawin", "non-dropping-particle" : "", "parse-names" : false, "suffix" : "" }, { "dropping-particle" : "", "family" : "Dunsiger", "given" : "Shira", "non-dropping-particle" : "", "parse-names" : false, "suffix" : "" }, { "dropping-particle" : "", "family" : "Cohen", "given" : "Ronald A", "non-dropping-particle" : "", "parse-names" : false, "suffix" : "" }, { "dropping-particle" : "", "family" : "Ott", "given" : "Brian R", "non-dropping-particle" : "", "parse-names" : false, "suffix" : "" } ], "container-title" : "Alzheimer's &amp; Dementia", "id" : "ITEM-1", "issued" : { "date-parts" : [ [ "2015", "2" ] ] }, "page" : "226-235", "publisher" : "Elsevier Ltd", "title" : "Association of fish oil supplement use with preservation of brain volume and cognitive function", "type" : "article-journal", "volume" : "11" }, "uris" : [ "http://www.mendeley.com/documents/?uuid=444c0d97-0d42-4445-bb4f-360e9f0c5d70" ] } ], "mendeley" : { "formattedCitation" : "&lt;sup&gt;(26)&lt;/sup&gt;", "plainTextFormattedCitation" : "(26)", "previouslyFormattedCitation" : "&lt;sup&gt;(26)&lt;/sup&gt;" }, "properties" : { "noteIndex" : 0 }, "schema" : "https://github.com/citation-style-language/schema/raw/master/csl-citation.json" }</w:instrText>
            </w:r>
            <w:r w:rsidR="00AC50B4"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(26)</w:t>
            </w:r>
            <w:r w:rsidR="00AC50B4"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Reported FOS</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Mixed†</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229 (CN)</w:t>
            </w:r>
            <w:r w:rsidRPr="00B54A75">
              <w:rPr>
                <w:rFonts w:ascii="Calibri" w:eastAsia="Times New Roman" w:hAnsi="Calibri" w:cs="Calibri"/>
                <w:color w:val="000000"/>
                <w:sz w:val="20"/>
                <w:szCs w:val="20"/>
                <w:lang w:eastAsia="en-AU"/>
              </w:rPr>
              <w:br/>
              <w:t>397 (MCI)</w:t>
            </w:r>
            <w:r w:rsidRPr="00B54A75">
              <w:rPr>
                <w:rFonts w:ascii="Calibri" w:eastAsia="Times New Roman" w:hAnsi="Calibri" w:cs="Calibri"/>
                <w:color w:val="000000"/>
                <w:sz w:val="20"/>
                <w:szCs w:val="20"/>
                <w:lang w:eastAsia="en-AU"/>
              </w:rPr>
              <w:br/>
              <w:t xml:space="preserve">193 (AD) </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76.0 (CN)</w:t>
            </w:r>
            <w:r w:rsidRPr="00B54A75">
              <w:rPr>
                <w:rFonts w:ascii="Calibri" w:eastAsia="Times New Roman" w:hAnsi="Calibri" w:cs="Calibri"/>
                <w:color w:val="000000"/>
                <w:sz w:val="20"/>
                <w:szCs w:val="20"/>
                <w:lang w:eastAsia="en-AU"/>
              </w:rPr>
              <w:br/>
              <w:t>74.90 (MCI)</w:t>
            </w:r>
            <w:r w:rsidRPr="00B54A75">
              <w:rPr>
                <w:rFonts w:ascii="Calibri" w:eastAsia="Times New Roman" w:hAnsi="Calibri" w:cs="Calibri"/>
                <w:color w:val="000000"/>
                <w:sz w:val="20"/>
                <w:szCs w:val="20"/>
                <w:lang w:eastAsia="en-AU"/>
              </w:rPr>
              <w:br/>
              <w:t>75.50 (AD)</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5.0 (CN)</w:t>
            </w:r>
            <w:r w:rsidRPr="00B54A75">
              <w:rPr>
                <w:rFonts w:ascii="Calibri" w:eastAsia="Times New Roman" w:hAnsi="Calibri" w:cs="Calibri"/>
                <w:color w:val="000000"/>
                <w:sz w:val="20"/>
                <w:szCs w:val="20"/>
                <w:lang w:eastAsia="en-AU"/>
              </w:rPr>
              <w:br/>
              <w:t>7.50 (MCI)</w:t>
            </w:r>
            <w:r w:rsidRPr="00B54A75">
              <w:rPr>
                <w:rFonts w:ascii="Calibri" w:eastAsia="Times New Roman" w:hAnsi="Calibri" w:cs="Calibri"/>
                <w:color w:val="000000"/>
                <w:sz w:val="20"/>
                <w:szCs w:val="20"/>
                <w:lang w:eastAsia="en-AU"/>
              </w:rPr>
              <w:br/>
              <w:t>7.50 (AD)</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Longitudinal</w:t>
            </w:r>
            <w:r w:rsidRPr="00B54A75">
              <w:rPr>
                <w:rFonts w:ascii="Calibri" w:eastAsia="Times New Roman" w:hAnsi="Calibri" w:cs="Calibri"/>
                <w:b/>
                <w:bCs/>
                <w:color w:val="000000"/>
                <w:sz w:val="20"/>
                <w:szCs w:val="20"/>
                <w:lang w:eastAsia="en-AU"/>
              </w:rPr>
              <w:t xml:space="preserve"> (MRI; multiple scans over 3-4 years)</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Reported FOS use</w:t>
            </w:r>
            <w:r w:rsidRPr="00B54A75">
              <w:rPr>
                <w:rFonts w:ascii="Calibri" w:eastAsia="Times New Roman" w:hAnsi="Calibri" w:cs="Calibri"/>
                <w:color w:val="000000"/>
                <w:sz w:val="20"/>
                <w:szCs w:val="20"/>
                <w:lang w:eastAsia="en-AU"/>
              </w:rPr>
              <w:t xml:space="preserve"> in whole group w</w:t>
            </w:r>
            <w:r w:rsidR="00AC73C6" w:rsidRPr="00B54A75">
              <w:rPr>
                <w:rFonts w:ascii="Calibri" w:eastAsia="Times New Roman" w:hAnsi="Calibri" w:cs="Calibri"/>
                <w:color w:val="000000"/>
                <w:sz w:val="20"/>
                <w:szCs w:val="20"/>
                <w:lang w:eastAsia="en-AU"/>
              </w:rPr>
              <w:t>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↑Cortical </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w:t>
            </w:r>
            <w:r w:rsidR="00AC73C6" w:rsidRPr="00B54A75">
              <w:rPr>
                <w:rFonts w:ascii="Calibri" w:eastAsia="Times New Roman" w:hAnsi="Calibri" w:cs="Calibri"/>
                <w:color w:val="000000"/>
                <w:sz w:val="20"/>
                <w:szCs w:val="20"/>
                <w:lang w:eastAsia="en-AU"/>
              </w:rPr>
              <w:t xml:space="preserve">  </w:t>
            </w:r>
            <w:r w:rsidR="00AC73C6" w:rsidRPr="00B54A75">
              <w:rPr>
                <w:rFonts w:ascii="Calibri" w:eastAsia="Times New Roman" w:hAnsi="Calibri" w:cs="Calibri"/>
                <w:color w:val="000000"/>
                <w:sz w:val="20"/>
                <w:szCs w:val="20"/>
                <w:lang w:eastAsia="en-AU"/>
              </w:rPr>
              <w:br/>
              <w:t xml:space="preserve">          ↑ </w:t>
            </w:r>
            <w:proofErr w:type="spellStart"/>
            <w:r w:rsidR="00AC73C6" w:rsidRPr="00B54A75">
              <w:rPr>
                <w:rFonts w:ascii="Calibri" w:eastAsia="Times New Roman" w:hAnsi="Calibri" w:cs="Calibri"/>
                <w:color w:val="000000"/>
                <w:sz w:val="20"/>
                <w:szCs w:val="20"/>
                <w:lang w:eastAsia="en-AU"/>
              </w:rPr>
              <w:t>HCv</w:t>
            </w:r>
            <w:proofErr w:type="spellEnd"/>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Vent-v</w:t>
            </w:r>
            <w:r w:rsidRPr="00B54A75">
              <w:rPr>
                <w:rFonts w:ascii="Calibri" w:eastAsia="Times New Roman" w:hAnsi="Calibri" w:cs="Calibri"/>
                <w:color w:val="000000"/>
                <w:sz w:val="20"/>
                <w:szCs w:val="20"/>
                <w:lang w:eastAsia="en-AU"/>
              </w:rPr>
              <w:br/>
              <w:t xml:space="preserve">Subgroup analysis </w:t>
            </w:r>
            <w:r w:rsidRPr="00B54A75">
              <w:rPr>
                <w:rFonts w:ascii="Calibri" w:eastAsia="Times New Roman" w:hAnsi="Calibri" w:cs="Calibri"/>
                <w:color w:val="000000"/>
                <w:sz w:val="20"/>
                <w:szCs w:val="20"/>
                <w:u w:val="single"/>
                <w:lang w:eastAsia="en-AU"/>
              </w:rPr>
              <w:t>reported FO</w:t>
            </w:r>
            <w:r w:rsidRPr="00B54A75">
              <w:rPr>
                <w:rFonts w:ascii="Calibri" w:eastAsia="Times New Roman" w:hAnsi="Calibri" w:cs="Calibri"/>
                <w:color w:val="000000"/>
                <w:sz w:val="20"/>
                <w:szCs w:val="20"/>
                <w:lang w:eastAsia="en-AU"/>
              </w:rPr>
              <w:t>S use w</w:t>
            </w:r>
            <w:r w:rsidR="00AC73C6" w:rsidRPr="00B54A75">
              <w:rPr>
                <w:rFonts w:ascii="Calibri" w:eastAsia="Times New Roman" w:hAnsi="Calibri" w:cs="Calibri"/>
                <w:color w:val="000000"/>
                <w:sz w:val="20"/>
                <w:szCs w:val="20"/>
                <w:lang w:eastAsia="en-AU"/>
              </w:rPr>
              <w:t>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Co</w:t>
            </w:r>
            <w:r w:rsidR="00AC73C6" w:rsidRPr="00B54A75">
              <w:rPr>
                <w:rFonts w:ascii="Calibri" w:eastAsia="Times New Roman" w:hAnsi="Calibri" w:cs="Calibri"/>
                <w:color w:val="000000"/>
                <w:sz w:val="20"/>
                <w:szCs w:val="20"/>
                <w:lang w:eastAsia="en-AU"/>
              </w:rPr>
              <w:t xml:space="preserve">rtical </w:t>
            </w:r>
            <w:proofErr w:type="spellStart"/>
            <w:r w:rsidR="00AC73C6" w:rsidRPr="00B54A75">
              <w:rPr>
                <w:rFonts w:ascii="Calibri" w:eastAsia="Times New Roman" w:hAnsi="Calibri" w:cs="Calibri"/>
                <w:color w:val="000000"/>
                <w:sz w:val="20"/>
                <w:szCs w:val="20"/>
                <w:lang w:eastAsia="en-AU"/>
              </w:rPr>
              <w:t>GMv</w:t>
            </w:r>
            <w:proofErr w:type="spellEnd"/>
            <w:r w:rsidR="00AC73C6" w:rsidRPr="00B54A75">
              <w:rPr>
                <w:rFonts w:ascii="Calibri" w:eastAsia="Times New Roman" w:hAnsi="Calibri" w:cs="Calibri"/>
                <w:color w:val="000000"/>
                <w:sz w:val="20"/>
                <w:szCs w:val="20"/>
                <w:lang w:eastAsia="en-AU"/>
              </w:rPr>
              <w:t xml:space="preserve"> (CN &amp; MCI)</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HCv</w:t>
            </w:r>
            <w:proofErr w:type="spellEnd"/>
            <w:r w:rsidRPr="00B54A75">
              <w:rPr>
                <w:rFonts w:ascii="Calibri" w:eastAsia="Times New Roman" w:hAnsi="Calibri" w:cs="Calibri"/>
                <w:color w:val="000000"/>
                <w:sz w:val="20"/>
                <w:szCs w:val="20"/>
                <w:lang w:eastAsia="en-AU"/>
              </w:rPr>
              <w:t xml:space="preserve"> (CN &amp; AD)</w:t>
            </w:r>
          </w:p>
        </w:tc>
      </w:tr>
      <w:tr w:rsidR="008251F9" w:rsidRPr="00B54A75" w:rsidTr="00222F25">
        <w:trPr>
          <w:trHeight w:val="1110"/>
        </w:trPr>
        <w:tc>
          <w:tcPr>
            <w:tcW w:w="1840" w:type="dxa"/>
            <w:tcBorders>
              <w:top w:val="nil"/>
              <w:left w:val="nil"/>
              <w:bottom w:val="nil"/>
              <w:right w:val="nil"/>
            </w:tcBorders>
            <w:shd w:val="clear" w:color="000000" w:fill="D9D9D9"/>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Pottala</w:t>
            </w:r>
            <w:proofErr w:type="spellEnd"/>
            <w:r w:rsidRPr="00B54A75">
              <w:rPr>
                <w:rFonts w:ascii="Calibri" w:eastAsia="Times New Roman" w:hAnsi="Calibri" w:cs="Calibri"/>
                <w:color w:val="000000"/>
                <w:sz w:val="20"/>
                <w:szCs w:val="20"/>
                <w:lang w:eastAsia="en-AU"/>
              </w:rPr>
              <w:t xml:space="preserve"> et al.</w:t>
            </w:r>
            <w:r w:rsidR="00AC50B4"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"10.1212/WNL.0000000000000080", "ISSN" : "1526-632X", "PMID" : "24453077", "abstract" : "OBJECTIVE: To test whether red blood cell (RBC) levels of marine omega-3 fatty acids measured in the Women's Health Initiative Memory Study were related to MRI brain volumes measured 8 years later. METHODS: RBC eicosapentaenoic acid (EPA), docosahexaenoic acid (DHA), and MRI brain volumes were assessed in 1,111 postmenopausal women from the Women's Health Initiative Memory Study. The endpoints were total brain volume and anatomical regions. Linear mixed models included multiple imputations of fatty acids and were adjusted for hormone therapy, time since randomization, demographics, intracranial volume, and cardiovascular disease risk factors. RESULTS: In fully adjusted models, a 1 SD greater RBC EPA + DHA (omega-3 index) level was correlated with 2.1 cm(3) larger brain volume (p = 0.048). DHA was marginally correlated (p = 0.063) with total brain volume while EPA was less so (p = 0.11). There were no correlations between ischemic lesion volumes and EPA, DHA, or EPA + DHA. A 1 SD greater omega-3 index was correlated with greater hippocampal volume (50 mm(3), p = 0.036) in fully adjusted models. Comparing the fourth quartile vs the first quartile of the omega-3 index confirmed greater hippocampal volume (159 mm(3), p = 0.034). CONCLUSION: A higher omega-3 index was correlated with larger total normal brain volume and hippocampal volume in postmenopausal women measured 8 years later. While normal aging results in overall brain atrophy, lower omega-3 index may signal increased risk of hippocampal atrophy. Future studies should examine whether maintaining higher RBC EPA + DHA levels slows the rate of hippocampal or overall brain atrophy.", "author" : [ { "dropping-particle" : "", "family" : "Pottala", "given" : "JV", "non-dropping-particle" : "", "parse-names" : false, "suffix" : "" }, { "dropping-particle" : "", "family" : "Yaffe", "given" : "Kristine", "non-dropping-particle" : "", "parse-names" : false, "suffix" : "" }, { "dropping-particle" : "", "family" : "Robinson", "given" : "Jennifer G", "non-dropping-particle" : "", "parse-names" : false, "suffix" : "" }, { "dropping-particle" : "", "family" : "Espeland", "given" : "Mark a", "non-dropping-particle" : "", "parse-names" : false, "suffix" : "" }, { "dropping-particle" : "", "family" : "Wallace", "given" : "Robert", "non-dropping-particle" : "", "parse-names" : false, "suffix" : "" }, { "dropping-particle" : "", "family" : "Harris", "given" : "William S", "non-dropping-particle" : "", "parse-names" : false, "suffix" : "" } ], "container-title" : "Neurology", "id" : "ITEM-1", "issued" : { "date-parts" : [ [ "2014", "2", "4" ] ] }, "page" : "435-442", "title" : "Higher RBC EPA + DHA corresponds with larger total brain and hippocampal volumes: WHIMS-MRI study", "type" : "article-journal", "volume" : "82" }, "uris" : [ "http://www.mendeley.com/documents/?uuid=06db1486-c426-41ef-a4ce-634b733401a8" ] } ], "mendeley" : { "formattedCitation" : "&lt;sup&gt;(27)&lt;/sup&gt;", "plainTextFormattedCitation" : "(27)", "previouslyFormattedCitation" : "&lt;sup&gt;(27)&lt;/sup&gt;" }, "properties" : { "noteIndex" : 0 }, "schema" : "https://github.com/citation-style-language/schema/raw/master/csl-citation.json" }</w:instrText>
            </w:r>
            <w:r w:rsidR="00AC50B4"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(27)</w:t>
            </w:r>
            <w:r w:rsidR="00AC50B4"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mbria Math" w:eastAsia="Times New Roman" w:hAnsi="Cambria Math" w:cs="Cambria Math"/>
                <w:color w:val="000000"/>
                <w:sz w:val="20"/>
                <w:szCs w:val="20"/>
                <w:lang w:eastAsia="en-AU"/>
              </w:rPr>
              <w:t>⍵</w:t>
            </w:r>
            <w:r w:rsidRPr="00B54A75">
              <w:rPr>
                <w:rFonts w:ascii="Calibri" w:eastAsia="Times New Roman" w:hAnsi="Calibri" w:cs="Calibri"/>
                <w:color w:val="000000"/>
                <w:sz w:val="20"/>
                <w:szCs w:val="20"/>
                <w:lang w:eastAsia="en-AU"/>
              </w:rPr>
              <w:t>3-FA</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Mostly DF</w:t>
            </w:r>
            <w:r w:rsidR="00BD13B8" w:rsidRPr="00B54A75">
              <w:rPr>
                <w:rFonts w:cstheme="minorHAnsi"/>
                <w:b/>
              </w:rPr>
              <w:t>|</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1,111</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71.0 - 88.0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78.0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 xml:space="preserve">Cross </w:t>
            </w:r>
            <w:proofErr w:type="gramStart"/>
            <w:r w:rsidRPr="00B54A75">
              <w:rPr>
                <w:rFonts w:ascii="Calibri" w:eastAsia="Times New Roman" w:hAnsi="Calibri" w:cs="Calibri"/>
                <w:b/>
                <w:bCs/>
                <w:iCs/>
                <w:color w:val="000000"/>
                <w:sz w:val="20"/>
                <w:szCs w:val="20"/>
                <w:lang w:eastAsia="en-AU"/>
              </w:rPr>
              <w:t>sectional</w:t>
            </w:r>
            <w:r w:rsidRPr="00B54A75">
              <w:rPr>
                <w:rFonts w:ascii="Calibri" w:eastAsia="Times New Roman" w:hAnsi="Calibri" w:cs="Calibri"/>
                <w:b/>
                <w:bCs/>
                <w:color w:val="000000"/>
                <w:sz w:val="20"/>
                <w:szCs w:val="20"/>
                <w:lang w:eastAsia="en-AU"/>
              </w:rPr>
              <w:t>(</w:t>
            </w:r>
            <w:proofErr w:type="gramEnd"/>
            <w:r w:rsidRPr="00B54A75">
              <w:rPr>
                <w:rFonts w:ascii="Calibri" w:eastAsia="Times New Roman" w:hAnsi="Calibri" w:cs="Calibri"/>
                <w:b/>
                <w:bCs/>
                <w:color w:val="000000"/>
                <w:sz w:val="20"/>
                <w:szCs w:val="20"/>
                <w:lang w:eastAsia="en-AU"/>
              </w:rPr>
              <w:t>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r w:rsidRPr="00B54A75">
              <w:rPr>
                <w:rFonts w:ascii="Cambria Math" w:eastAsia="Times New Roman" w:hAnsi="Cambria Math" w:cs="Cambria Math"/>
                <w:color w:val="000000"/>
                <w:sz w:val="20"/>
                <w:szCs w:val="20"/>
                <w:u w:val="single"/>
                <w:lang w:eastAsia="en-AU"/>
              </w:rPr>
              <w:t>⍵</w:t>
            </w:r>
            <w:r w:rsidRPr="00B54A75">
              <w:rPr>
                <w:rFonts w:ascii="Calibri" w:eastAsia="Times New Roman" w:hAnsi="Calibri" w:cs="Calibri"/>
                <w:color w:val="000000"/>
                <w:sz w:val="20"/>
                <w:szCs w:val="20"/>
                <w:u w:val="single"/>
                <w:lang w:eastAsia="en-AU"/>
              </w:rPr>
              <w:t>3-FA index (combined DHA &amp; EPA)</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w:t>
            </w:r>
            <w:r w:rsidR="00AC73C6" w:rsidRPr="00B54A75">
              <w:rPr>
                <w:rFonts w:ascii="Calibri" w:eastAsia="Times New Roman" w:hAnsi="Calibri" w:cs="Calibri"/>
                <w:color w:val="000000"/>
                <w:sz w:val="20"/>
                <w:szCs w:val="20"/>
                <w:lang w:eastAsia="en-AU"/>
              </w:rPr>
              <w:t xml:space="preserve">    ↑ </w:t>
            </w:r>
            <w:proofErr w:type="spellStart"/>
            <w:r w:rsidR="00AC73C6" w:rsidRPr="00B54A75">
              <w:rPr>
                <w:rFonts w:ascii="Calibri" w:eastAsia="Times New Roman" w:hAnsi="Calibri" w:cs="Calibri"/>
                <w:color w:val="000000"/>
                <w:sz w:val="20"/>
                <w:szCs w:val="20"/>
                <w:lang w:eastAsia="en-AU"/>
              </w:rPr>
              <w:t>TCv</w:t>
            </w:r>
            <w:proofErr w:type="spellEnd"/>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HCv</w:t>
            </w:r>
            <w:proofErr w:type="spellEnd"/>
          </w:p>
        </w:tc>
      </w:tr>
      <w:tr w:rsidR="009321E8" w:rsidRPr="00B54A75" w:rsidTr="00222F25">
        <w:trPr>
          <w:trHeight w:val="870"/>
        </w:trPr>
        <w:tc>
          <w:tcPr>
            <w:tcW w:w="1840" w:type="dxa"/>
            <w:tcBorders>
              <w:top w:val="nil"/>
              <w:left w:val="nil"/>
              <w:bottom w:val="nil"/>
              <w:right w:val="nil"/>
            </w:tcBorders>
            <w:shd w:val="clear" w:color="auto" w:fill="auto"/>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Walhovd</w:t>
            </w:r>
            <w:proofErr w:type="spellEnd"/>
            <w:r w:rsidRPr="00B54A75">
              <w:rPr>
                <w:rFonts w:ascii="Calibri" w:eastAsia="Times New Roman" w:hAnsi="Calibri" w:cs="Calibri"/>
                <w:color w:val="000000"/>
                <w:sz w:val="20"/>
                <w:szCs w:val="20"/>
                <w:lang w:eastAsia="en-AU"/>
              </w:rPr>
              <w:t xml:space="preserve"> et al.</w:t>
            </w:r>
            <w:r w:rsidR="00AC50B4"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"10.1016/j.neurobiolaging.2013.11.011", "ISSN" : "1558-1497", "PMID" : "24332985", "abstract" : "We hypothesized that higher levels of omega-3 fatty acids, vitamin D, and physical activity relate to cortical sparing, whereas higher levels of cholesterol, systolic blood pressure, and body mass index (BMI) relate to increased atrophy in the adult lifespan. Longitudinal measures of cortical thickness were derived from magnetic resonance imaging scans acquired (mean interval 3.6 years) from 203 healthy persons aged 23-87 years. At follow-up, measures of BMI, blood pressure, and physical activity were obtained. Blood levels of docosahexaenoic acid, eicosapentaenoic acid, vitamin D, and cholesterol were measured in a subsample (n = 92). Effects were tested in cortical surface-based analyses, with sex, age, follow-up interval, and the interactions between each included as covariates. Higher levels of docosahexaenoic acid, vitamin D, and physical activity related to cortical sparing. Higher cholesterol and BMI related to increased cortical thinning. Effects were independent, did not interact with age, and the cholesterol effect was restricted to males. Eicosapentaenoic acid and blood pressure showed no effects. The observed effects show promise for potential factors to reduce cortical atrophy in normal aging.", "author" : [ { "dropping-particle" : "", "family" : "Walhovd", "given" : "Kristine B", "non-dropping-particle" : "", "parse-names" : false, "suffix" : "" }, { "dropping-particle" : "", "family" : "Storsve", "given" : "Andreas B", "non-dropping-particle" : "", "parse-names" : false, "suffix" : "" }, { "dropping-particle" : "", "family" : "Westlye", "given" : "Lars T", "non-dropping-particle" : "", "parse-names" : false, "suffix" : "" }, { "dropping-particle" : "", "family" : "Drevon", "given" : "Christian a", "non-dropping-particle" : "", "parse-names" : false, "suffix" : "" }, { "dropping-particle" : "", "family" : "Fjell", "given" : "Anders M", "non-dropping-particle" : "", "parse-names" : false, "suffix" : "" } ], "container-title" : "Neurobiology of Aging", "id" : "ITEM-1", "issued" : { "date-parts" : [ [ "2014", "5" ] ] }, "page" : "1055-1064", "publisher" : "Elsevier Ltd", "title" : "Blood markers of fatty acids and vitamin D, cardiovascular measures, body mass index, and physical activity relate to longitudinal cortical thinning in normal aging", "type" : "article-journal", "volume" : "35" }, "uris" : [ "http://www.mendeley.com/documents/?uuid=ffff246d-fb29-4950-b966-c2737753d108" ] } ], "mendeley" : { "formattedCitation" : "&lt;sup&gt;(28)&lt;/sup&gt;", "plainTextFormattedCitation" : "(28)", "previouslyFormattedCitation" : "&lt;sup&gt;(28)&lt;/sup&gt;" }, "properties" : { "noteIndex" : 0 }, "schema" : "https://github.com/citation-style-language/schema/raw/master/csl-citation.json" }</w:instrText>
            </w:r>
            <w:r w:rsidR="00AC50B4"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(28)</w:t>
            </w:r>
            <w:r w:rsidR="00AC50B4"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mbria Math" w:eastAsia="Times New Roman" w:hAnsi="Cambria Math" w:cs="Cambria Math"/>
                <w:color w:val="000000"/>
                <w:sz w:val="20"/>
                <w:szCs w:val="20"/>
                <w:lang w:eastAsia="en-AU"/>
              </w:rPr>
              <w:t>⍵</w:t>
            </w:r>
            <w:r w:rsidRPr="00B54A75">
              <w:rPr>
                <w:rFonts w:ascii="Calibri" w:eastAsia="Times New Roman" w:hAnsi="Calibri" w:cs="Calibri"/>
                <w:color w:val="000000"/>
                <w:sz w:val="20"/>
                <w:szCs w:val="20"/>
                <w:lang w:eastAsia="en-AU"/>
              </w:rPr>
              <w:t>3-FA</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92</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44.40 - 86.30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63.30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8.70</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Longitudinal</w:t>
            </w:r>
            <w:r w:rsidRPr="00B54A75">
              <w:rPr>
                <w:rFonts w:ascii="Calibri" w:eastAsia="Times New Roman" w:hAnsi="Calibri" w:cs="Calibri"/>
                <w:b/>
                <w:bCs/>
                <w:color w:val="000000"/>
                <w:sz w:val="20"/>
                <w:szCs w:val="20"/>
                <w:lang w:eastAsia="en-AU"/>
              </w:rPr>
              <w:t xml:space="preserve"> (MRI; 2 years)</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DHA</w:t>
            </w:r>
            <w:r w:rsidRPr="00B54A75">
              <w:rPr>
                <w:rFonts w:ascii="Calibri" w:eastAsia="Times New Roman" w:hAnsi="Calibri" w:cs="Calibri"/>
                <w:color w:val="000000"/>
                <w:sz w:val="20"/>
                <w:szCs w:val="20"/>
                <w:lang w:eastAsia="en-AU"/>
              </w:rPr>
              <w:t xml:space="preserve"> w</w:t>
            </w:r>
            <w:r w:rsidR="00AC73C6" w:rsidRPr="00B54A75">
              <w:rPr>
                <w:rFonts w:ascii="Calibri" w:eastAsia="Times New Roman" w:hAnsi="Calibri" w:cs="Calibri"/>
                <w:color w:val="000000"/>
                <w:sz w:val="20"/>
                <w:szCs w:val="20"/>
                <w:lang w:eastAsia="en-AU"/>
              </w:rPr>
              <w:t>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C-thin within MTC &amp; STC</w:t>
            </w:r>
          </w:p>
        </w:tc>
      </w:tr>
      <w:tr w:rsidR="008251F9" w:rsidRPr="00B54A75" w:rsidTr="00222F25">
        <w:trPr>
          <w:trHeight w:val="795"/>
        </w:trPr>
        <w:tc>
          <w:tcPr>
            <w:tcW w:w="1840" w:type="dxa"/>
            <w:tcBorders>
              <w:top w:val="nil"/>
              <w:left w:val="nil"/>
              <w:bottom w:val="nil"/>
              <w:right w:val="nil"/>
            </w:tcBorders>
            <w:shd w:val="clear" w:color="000000" w:fill="D9D9D9"/>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Bowman et al.</w:t>
            </w:r>
            <w:r w:rsidR="0090349C"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"10.3389/fnagi.2013.00092", "ISSN" : "1663-4365", "PMID" : "24379780", "abstract" : "INTRODUCTION: Cross-sectional studies have identified long chain omega-3 polyunsaturated fatty acids (eicosapentaenoic acid 20:5n-3 and docosahexaenoic acid 22:6n-3 (O3PUFA) in association with fewer white matter lesions and better executive function in older adults. We hypothesized that O3PUFA are associated with less executive decline over time and that total white matter hyperintensity volume (WMH) mediates this association. METHODS: Eighty-six non-demented older adults were followed over 4 years after measurement of plasma O3PUFA with annual evaluations of cognitive function. A subset of these participants also had brain MRI of total WMH available to conduct a formal mediation analysis of a putative relationship between O3PUFA and cognitive function. RESULTS: Mean age at baseline was 86, 62% were female and 11% carried the APOE4 allele. Each 100 \u03bcg/ml increase in plasma O3PUFA associated with 4 s less change in executive decline per year of aging (p = 0.02, fully adjusted model). O3PUFA was not associated with verbal memory or global cognitive changes. The significance of the association between O3PUFA and better executive function was lost once WMH was added to the regression model. CONCLUSION: Executive decline with age appears to be a cognitive domain particularly sensitive to plasma O3PUFA in longitudinal examination. O3PUFA may modulate executive functioning by mechanisms underlying the development of WMH, a biologically plausible hypothesis that warrants further investigation.", "author" : [ { "dropping-particle" : "", "family" : "Bowman", "given" : "Gene L", "non-dropping-particle" : "", "parse-names" : false, "suffix" : "" }, { "dropping-particle" : "", "family" : "Dodge", "given" : "Hiroko H", "non-dropping-particle" : "", "parse-names" : false, "suffix" : "" }, { "dropping-particle" : "", "family" : "Mattek", "given" : "Nora", "non-dropping-particle" : "", "parse-names" : false, "suffix" : "" }, { "dropping-particle" : "", "family" : "Barbey", "given" : "Aron K", "non-dropping-particle" : "", "parse-names" : false, "suffix" : "" }, { "dropping-particle" : "", "family" : "Silbert", "given" : "Lisa C", "non-dropping-particle" : "", "parse-names" : false, "suffix" : "" }, { "dropping-particle" : "", "family" : "Shinto", "given" : "Lynne", "non-dropping-particle" : "", "parse-names" : false, "suffix" : "" }, { "dropping-particle" : "", "family" : "Howieson", "given" : "Diane B", "non-dropping-particle" : "", "parse-names" : false, "suffix" : "" }, { "dropping-particle" : "", "family" : "Kaye", "given" : "Jeffrey a", "non-dropping-particle" : "", "parse-names" : false, "suffix" : "" }, { "dropping-particle" : "", "family" : "Quinn", "given" : "Joseph F", "non-dropping-particle" : "", "parse-names" : false, "suffix" : "" } ], "container-title" : "Frontiers in Aging Neuroscience", "id" : "ITEM-1", "issued" : { "date-parts" : [ [ "2013", "1" ] ] }, "page" : "92", "title" : "Plasma omega-3 PUFA and white matter mediated executive decline in older adults", "type" : "article-journal", "volume" : "5" }, "uris" : [ "http://www.mendeley.com/documents/?uuid=4974353d-8ba1-4153-b336-9dd47fb99c5d" ] } ], "mendeley" : { "formattedCitation" : "&lt;sup&gt;(29)&lt;/sup&gt;", "plainTextFormattedCitation" : "(29)", "previouslyFormattedCitation" : "&lt;sup&gt;(29)&lt;/sup&gt;" }, "properties" : { "noteIndex" : 0 }, "schema" : "https://github.com/citation-style-language/schema/raw/master/csl-citation.json" }</w:instrText>
            </w:r>
            <w:r w:rsidR="0090349C"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(29)</w:t>
            </w:r>
            <w:r w:rsidR="0090349C"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ω3-FA</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32</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92.40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3.50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ω3-FA</w:t>
            </w:r>
            <w:r w:rsidRPr="00B54A75">
              <w:rPr>
                <w:rFonts w:ascii="Calibri" w:eastAsia="Times New Roman" w:hAnsi="Calibri" w:cs="Calibri"/>
                <w:color w:val="000000"/>
                <w:sz w:val="20"/>
                <w:szCs w:val="20"/>
                <w:lang w:eastAsia="en-AU"/>
              </w:rPr>
              <w:t xml:space="preserve"> </w:t>
            </w:r>
            <w:r w:rsidR="00AC73C6" w:rsidRPr="00B54A75">
              <w:rPr>
                <w:rFonts w:ascii="Calibri" w:eastAsia="Times New Roman" w:hAnsi="Calibri" w:cs="Calibri"/>
                <w:color w:val="000000"/>
                <w:sz w:val="20"/>
                <w:szCs w:val="20"/>
                <w:lang w:eastAsia="en-AU"/>
              </w:rPr>
              <w:t>was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WMHv</w:t>
            </w:r>
            <w:proofErr w:type="spellEnd"/>
          </w:p>
        </w:tc>
      </w:tr>
      <w:tr w:rsidR="009321E8" w:rsidRPr="00B54A75" w:rsidTr="00222F25">
        <w:trPr>
          <w:trHeight w:val="900"/>
        </w:trPr>
        <w:tc>
          <w:tcPr>
            <w:tcW w:w="1840" w:type="dxa"/>
            <w:tcBorders>
              <w:top w:val="nil"/>
              <w:left w:val="nil"/>
              <w:bottom w:val="nil"/>
              <w:right w:val="nil"/>
            </w:tcBorders>
            <w:shd w:val="clear" w:color="auto" w:fill="auto"/>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Titova</w:t>
            </w:r>
            <w:proofErr w:type="spellEnd"/>
            <w:r w:rsidRPr="00B54A75">
              <w:rPr>
                <w:rFonts w:ascii="Calibri" w:eastAsia="Times New Roman" w:hAnsi="Calibri" w:cs="Calibri"/>
                <w:color w:val="000000"/>
                <w:sz w:val="20"/>
                <w:szCs w:val="20"/>
                <w:lang w:eastAsia="en-AU"/>
              </w:rPr>
              <w:t xml:space="preserve"> et al.</w:t>
            </w:r>
            <w:r w:rsidR="0090349C"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"10.1007/s11357-012-9453-3", "ISSN" : "1574-4647", "PMID" : "22791395", "abstract" : "In the present study, we tested whether elderly with a high dietary intake of eicosapentaenoic acid (EPA) and docosahexaenoic acid (DHA) would have higher cognitive test scores and greater brain volume than those with low dietary intake of these fatty acids. Data were obtained from the Prospective Investigation of the Vasculature in Uppsala Seniors (PIVUS) cohort. The dietary intake of EPA and DHA was determined by a 7-day food protocol in 252 cognitively healthy elderly (122 females) at the age of 70 years. At age 75, participants' global cognitive function was examined, and their brain volumes were measured by magnetic resonance imaging (MRI). Three different multivariate linear regression models were applied to test our hypothesis: model A (adjusted for gender and age), model B (additionally controlled for lifestyle factors, e.g., education), and model C (further controlled for cardiometabolic factors, e.g., systolic blood pressure). We found that the self-reported 7-day dietary intake of EPA and DHA at the age of 70 years was positively associated with global gray matter volume (P &lt; 0.05, except for model C) and increased global cognitive performance score (P &lt; 0.05). However, no significant associations were observed between the dietary intake of EPA and DHA and global white matter, total brain volume, and regional gray matter, respectively. Further, no effects were observed when examining cognitively impaired (n = 27) elderly as separate analyses. These cross-sectional findings suggest that dietary intake of EPA and DHA may be linked to improved cognitive health in late life but must be confirmed in patient studies.", "author" : [ { "dropping-particle" : "", "family" : "Titova", "given" : "Olga E", "non-dropping-particle" : "", "parse-names" : false, "suffix" : "" }, { "dropping-particle" : "", "family" : "Sj\u00f6gren", "given" : "Per", "non-dropping-particle" : "", "parse-names" : false, "suffix" : "" }, { "dropping-particle" : "", "family" : "Brooks", "given" : "Samantha J", "non-dropping-particle" : "", "parse-names" : false, "suffix" : "" }, { "dropping-particle" : "", "family" : "Kullberg", "given" : "Joel", "non-dropping-particle" : "", "parse-names" : false, "suffix" : "" }, { "dropping-particle" : "", "family" : "Ax", "given" : "Erika", "non-dropping-particle" : "", "parse-names" : false, "suffix" : "" }, { "dropping-particle" : "", "family" : "Kilander", "given" : "Lena", "non-dropping-particle" : "", "parse-names" : false, "suffix" : "" }, { "dropping-particle" : "", "family" : "Riserus", "given" : "Ulf", "non-dropping-particle" : "", "parse-names" : false, "suffix" : "" }, { "dropping-particle" : "", "family" : "Cederholm", "given" : "Tommy", "non-dropping-particle" : "", "parse-names" : false, "suffix" : "" }, { "dropping-particle" : "", "family" : "Larsson", "given" : "Elna-Marie", "non-dropping-particle" : "", "parse-names" : false, "suffix" : "" }, { "dropping-particle" : "", "family" : "Johansson", "given" : "Lars", "non-dropping-particle" : "", "parse-names" : false, "suffix" : "" }, { "dropping-particle" : "", "family" : "Ahlstr\u00f6m", "given" : "H\u00e5kan", "non-dropping-particle" : "", "parse-names" : false, "suffix" : "" }, { "dropping-particle" : "", "family" : "Lind", "given" : "Lars", "non-dropping-particle" : "", "parse-names" : false, "suffix" : "" }, { "dropping-particle" : "", "family" : "Schi\u00f6th", "given" : "Helgi B", "non-dropping-particle" : "", "parse-names" : false, "suffix" : "" }, { "dropping-particle" : "", "family" : "Benedict", "given" : "Christian", "non-dropping-particle" : "", "parse-names" : false, "suffix" : "" } ], "container-title" : "Age", "id" : "ITEM-1", "issued" : { "date-parts" : [ [ "2013", "8" ] ] }, "page" : "1495-1505", "title" : "Dietary intake of eicosapentaenoic and docosahexaenoic acids is linked to gray matter volume and cognitive function in elderly", "type" : "article-journal", "volume" : "35" }, "uris" : [ "http://www.mendeley.com/documents/?uuid=11fe110c-4b3a-43ad-b6ed-279206dfc9a7" ] } ], "mendeley" : { "formattedCitation" : "&lt;sup&gt;(30)&lt;/sup&gt;", "plainTextFormattedCitation" : "(30)", "previouslyFormattedCitation" : "&lt;sup&gt;(30)&lt;/sup&gt;" }, "properties" : { "noteIndex" : 0 }, "schema" : "https://github.com/citation-style-language/schema/raw/master/csl-citation.json" }</w:instrText>
            </w:r>
            <w:r w:rsidR="0090349C"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(30)</w:t>
            </w:r>
            <w:r w:rsidR="0090349C"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mbria Math" w:eastAsia="Times New Roman" w:hAnsi="Cambria Math" w:cs="Cambria Math"/>
                <w:color w:val="000000"/>
                <w:sz w:val="20"/>
                <w:szCs w:val="20"/>
                <w:lang w:eastAsia="en-AU"/>
              </w:rPr>
              <w:t>⍵</w:t>
            </w:r>
            <w:r w:rsidRPr="00B54A75">
              <w:rPr>
                <w:rFonts w:ascii="Calibri" w:eastAsia="Times New Roman" w:hAnsi="Calibri" w:cs="Calibri"/>
                <w:color w:val="000000"/>
                <w:sz w:val="20"/>
                <w:szCs w:val="20"/>
                <w:lang w:eastAsia="en-AU"/>
              </w:rPr>
              <w:t>3-FA (7DFD)</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198</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≥70.0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Approx. 70.10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0.0</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Intake of DHA &amp; </w:t>
            </w:r>
            <w:proofErr w:type="gramStart"/>
            <w:r w:rsidRPr="00B54A75">
              <w:rPr>
                <w:rFonts w:ascii="Calibri" w:eastAsia="Times New Roman" w:hAnsi="Calibri" w:cs="Calibri"/>
                <w:color w:val="000000"/>
                <w:sz w:val="20"/>
                <w:szCs w:val="20"/>
                <w:u w:val="single"/>
                <w:lang w:eastAsia="en-AU"/>
              </w:rPr>
              <w:t>EPA</w:t>
            </w:r>
            <w:r w:rsidRPr="00B54A75">
              <w:rPr>
                <w:rFonts w:ascii="Calibri" w:eastAsia="Times New Roman" w:hAnsi="Calibri" w:cs="Calibri"/>
                <w:color w:val="000000"/>
                <w:sz w:val="20"/>
                <w:szCs w:val="20"/>
                <w:lang w:eastAsia="en-AU"/>
              </w:rPr>
              <w:t xml:space="preserve">  </w:t>
            </w:r>
            <w:r w:rsidR="00AC73C6" w:rsidRPr="00B54A75">
              <w:rPr>
                <w:rFonts w:ascii="Calibri" w:eastAsia="Times New Roman" w:hAnsi="Calibri" w:cs="Calibri"/>
                <w:color w:val="000000"/>
                <w:sz w:val="20"/>
                <w:szCs w:val="20"/>
                <w:lang w:eastAsia="en-AU"/>
              </w:rPr>
              <w:t>was</w:t>
            </w:r>
            <w:proofErr w:type="gramEnd"/>
            <w:r w:rsidR="00AC73C6" w:rsidRPr="00B54A75">
              <w:rPr>
                <w:rFonts w:ascii="Calibri" w:eastAsia="Times New Roman" w:hAnsi="Calibri" w:cs="Calibri"/>
                <w:color w:val="000000"/>
                <w:sz w:val="20"/>
                <w:szCs w:val="20"/>
                <w:lang w:eastAsia="en-AU"/>
              </w:rPr>
              <w:t xml:space="preserve">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TC-</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w:t>
            </w:r>
          </w:p>
        </w:tc>
      </w:tr>
      <w:tr w:rsidR="008251F9" w:rsidRPr="00B54A75" w:rsidTr="00222F25">
        <w:trPr>
          <w:trHeight w:val="1650"/>
        </w:trPr>
        <w:tc>
          <w:tcPr>
            <w:tcW w:w="1840" w:type="dxa"/>
            <w:tcBorders>
              <w:top w:val="nil"/>
              <w:left w:val="nil"/>
              <w:bottom w:val="nil"/>
              <w:right w:val="nil"/>
            </w:tcBorders>
            <w:shd w:val="clear" w:color="000000" w:fill="D9D9D9"/>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Samieri</w:t>
            </w:r>
            <w:proofErr w:type="spellEnd"/>
            <w:r w:rsidRPr="00B54A75">
              <w:rPr>
                <w:rFonts w:ascii="Calibri" w:eastAsia="Times New Roman" w:hAnsi="Calibri" w:cs="Calibri"/>
                <w:color w:val="000000"/>
                <w:sz w:val="20"/>
                <w:szCs w:val="20"/>
                <w:lang w:eastAsia="en-AU"/>
              </w:rPr>
              <w:t xml:space="preserve"> et al.</w:t>
            </w:r>
            <w:r w:rsidR="0090349C"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"10.1212/WNL.0b013e318264e394", "ISSN" : "1526-632X", "PMID" : "22855869", "abstract" : "OBJECTIVE: The long-chain \u03c9-3 fatty acids eicosapentaenoic acid (EPA) and docosahexaenoic acid (DHA) are potential candidates for interventions to delay Alzheimer disease (AD), but evidence from clinical studies is mixed. We aimed at determining whether plasma levels of EPA or DHA predict atrophy of medial temporal lobe (MTL) gray matter regions in older subjects. METHODS: A total of 281 community dwellers from the Three-City Study, aged 65 years or older, had plasma fatty acid measurements at baseline and underwent MRI examinations at baseline and at 4 years. We studied the association between plasma EPA and DHA and MTL gray matter volume change at 4 years. RESULTS: Higher plasma EPA, but not DHA, was associated with lower gray matter atrophy of the right hippocampal/parahippocampal area and of the right amygdala (p &lt; 0.05, familywise error corrected). Based on a mean right amygdala volume loss of 6.0 mm(3)/y (0.6%), a 1 SD higher plasma EPA (+0.64% of total plasma fatty acids) at baseline was related to a 1.3 mm(3) smaller gray matter loss per year in the right amygdala. Higher atrophy of the right amygdala was associated with greater 4-year decline in semantic memory performances and more depressive symptoms. CONCLUSION: The amygdala, which develops neuropathology in the early stage of AD and is involved in the pathogenesis of depression, may be an important brain structure involved in the association between EPA and cognitive decline and depressive symptoms.", "author" : [ { "dropping-particle" : "", "family" : "Samieri", "given" : "C\u00e9cilia", "non-dropping-particle" : "", "parse-names" : false, "suffix" : "" }, { "dropping-particle" : "", "family" : "Maillard", "given" : "Pauline", "non-dropping-particle" : "", "parse-names" : false, "suffix" : "" }, { "dropping-particle" : "", "family" : "Crivello", "given" : "Fabrice", "non-dropping-particle" : "", "parse-names" : false, "suffix" : "" }, { "dropping-particle" : "", "family" : "Proust-Lima", "given" : "C\u00e9cile", "non-dropping-particle" : "", "parse-names" : false, "suffix" : "" }, { "dropping-particle" : "", "family" : "Peuchant", "given" : "Evelyne", "non-dropping-particle" : "", "parse-names" : false, "suffix" : "" }, { "dropping-particle" : "", "family" : "Helmer", "given" : "Catherine", "non-dropping-particle" : "", "parse-names" : false, "suffix" : "" }, { "dropping-particle" : "", "family" : "Amieva", "given" : "Helene", "non-dropping-particle" : "", "parse-names" : false, "suffix" : "" }, { "dropping-particle" : "", "family" : "Allard", "given" : "Michele", "non-dropping-particle" : "", "parse-names" : false, "suffix" : "" }, { "dropping-particle" : "", "family" : "Dartigues", "given" : "Jean-Francois", "non-dropping-particle" : "", "parse-names" : false, "suffix" : "" }, { "dropping-particle" : "", "family" : "Cunnane", "given" : "Stephen C", "non-dropping-particle" : "", "parse-names" : false, "suffix" : "" }, { "dropping-particle" : "", "family" : "Mazoyer", "given" : "Bernard M", "non-dropping-particle" : "", "parse-names" : false, "suffix" : "" }, { "dropping-particle" : "", "family" : "Barberger-Gateau", "given" : "Pascale", "non-dropping-particle" : "", "parse-names" : false, "suffix" : "" } ], "container-title" : "Neurology", "id" : "ITEM-1", "issued" : { "date-parts" : [ [ "2012", "8", "14" ] ] }, "page" : "642-650", "title" : "Plasma long-chain omega-3 fatty acids and atrophy of the medial temporal lobe", "type" : "article-journal", "volume" : "79" }, "uris" : [ "http://www.mendeley.com/documents/?uuid=ecddef45-8310-40a1-b130-579eabf5f7be" ] } ], "mendeley" : { "formattedCitation" : "&lt;sup&gt;(31)&lt;/sup&gt;", "plainTextFormattedCitation" : "(31)", "previouslyFormattedCitation" : "&lt;sup&gt;(31)&lt;/sup&gt;" }, "properties" : { "noteIndex" : 0 }, "schema" : "https://github.com/citation-style-language/schema/raw/master/csl-citation.json" }</w:instrText>
            </w:r>
            <w:r w:rsidR="0090349C"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(31)</w:t>
            </w:r>
            <w:r w:rsidR="0090349C"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ω3-FA</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Mixed</w:t>
            </w:r>
            <w:r w:rsidR="00BD13B8" w:rsidRPr="00B54A75">
              <w:rPr>
                <w:rFonts w:cstheme="minorHAnsi"/>
                <w:b/>
              </w:rPr>
              <w:t>¶</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281</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72.30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3.80</w:t>
            </w:r>
          </w:p>
        </w:tc>
        <w:tc>
          <w:tcPr>
            <w:tcW w:w="5760" w:type="dxa"/>
            <w:tcBorders>
              <w:top w:val="nil"/>
              <w:left w:val="nil"/>
              <w:bottom w:val="nil"/>
              <w:right w:val="nil"/>
            </w:tcBorders>
            <w:shd w:val="clear" w:color="000000" w:fill="D9D9D9"/>
            <w:vAlign w:val="bottom"/>
            <w:hideMark/>
          </w:tcPr>
          <w:p w:rsidR="00112011" w:rsidRPr="00B54A75" w:rsidRDefault="00112011" w:rsidP="00A85A6A">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iCs/>
                <w:color w:val="000000"/>
                <w:sz w:val="20"/>
                <w:szCs w:val="20"/>
                <w:lang w:eastAsia="en-AU"/>
              </w:rPr>
              <w:t>Longitudinal</w:t>
            </w:r>
            <w:r w:rsidRPr="00B54A75">
              <w:rPr>
                <w:rFonts w:ascii="Calibri" w:eastAsia="Times New Roman" w:hAnsi="Calibri" w:cs="Calibri"/>
                <w:b/>
                <w:bCs/>
                <w:color w:val="000000"/>
                <w:sz w:val="20"/>
                <w:szCs w:val="20"/>
                <w:lang w:eastAsia="en-AU"/>
              </w:rPr>
              <w:t xml:space="preserve"> (MRI; 4 year)</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EPA</w:t>
            </w:r>
            <w:r w:rsidRPr="00B54A75">
              <w:rPr>
                <w:rFonts w:ascii="Calibri" w:eastAsia="Times New Roman" w:hAnsi="Calibri" w:cs="Calibri"/>
                <w:color w:val="000000"/>
                <w:sz w:val="20"/>
                <w:szCs w:val="20"/>
                <w:lang w:eastAsia="en-AU"/>
              </w:rPr>
              <w:t xml:space="preserve"> </w:t>
            </w:r>
            <w:r w:rsidR="00AC73C6" w:rsidRPr="00B54A75">
              <w:rPr>
                <w:rFonts w:ascii="Calibri" w:eastAsia="Times New Roman" w:hAnsi="Calibri" w:cs="Calibri"/>
                <w:color w:val="000000"/>
                <w:sz w:val="20"/>
                <w:szCs w:val="20"/>
                <w:lang w:eastAsia="en-AU"/>
              </w:rPr>
              <w:t>was associated with:</w:t>
            </w:r>
            <w:r w:rsidR="00AC73C6"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lang w:eastAsia="en-AU"/>
              </w:rPr>
              <w:t xml:space="preserve">↓ GM atrophy </w:t>
            </w:r>
            <w:r w:rsidR="00A85A6A" w:rsidRPr="00B54A75">
              <w:rPr>
                <w:rFonts w:ascii="Calibri" w:eastAsia="Times New Roman" w:hAnsi="Calibri" w:cs="Calibri"/>
                <w:color w:val="000000"/>
                <w:sz w:val="20"/>
                <w:szCs w:val="20"/>
                <w:lang w:eastAsia="en-AU"/>
              </w:rPr>
              <w:t>within right Med-TL structures (</w:t>
            </w:r>
            <w:r w:rsidRPr="00B54A75">
              <w:rPr>
                <w:rFonts w:ascii="Calibri" w:eastAsia="Times New Roman" w:hAnsi="Calibri" w:cs="Calibri"/>
                <w:color w:val="000000"/>
                <w:sz w:val="20"/>
                <w:szCs w:val="20"/>
                <w:lang w:eastAsia="en-AU"/>
              </w:rPr>
              <w:t>AM</w:t>
            </w:r>
            <w:r w:rsidR="00A85A6A" w:rsidRPr="00B54A75">
              <w:rPr>
                <w:rFonts w:ascii="Calibri" w:eastAsia="Times New Roman" w:hAnsi="Calibri" w:cs="Calibri"/>
                <w:color w:val="000000"/>
                <w:sz w:val="20"/>
                <w:szCs w:val="20"/>
                <w:lang w:eastAsia="en-AU"/>
              </w:rPr>
              <w:t>YG,</w:t>
            </w:r>
            <w:r w:rsidR="00A85A6A" w:rsidRPr="00B54A75">
              <w:rPr>
                <w:rFonts w:ascii="Calibri" w:eastAsia="Times New Roman" w:hAnsi="Calibri" w:cs="Calibri"/>
                <w:color w:val="000000"/>
                <w:sz w:val="20"/>
                <w:szCs w:val="20"/>
                <w:lang w:eastAsia="en-AU"/>
              </w:rPr>
              <w:br/>
              <w:t xml:space="preserve">               </w:t>
            </w:r>
            <w:proofErr w:type="spellStart"/>
            <w:r w:rsidR="00A85A6A" w:rsidRPr="00B54A75">
              <w:rPr>
                <w:rFonts w:ascii="Calibri" w:eastAsia="Times New Roman" w:hAnsi="Calibri" w:cs="Calibri"/>
                <w:color w:val="000000"/>
                <w:sz w:val="20"/>
                <w:szCs w:val="20"/>
                <w:lang w:eastAsia="en-AU"/>
              </w:rPr>
              <w:t>ParaHC</w:t>
            </w:r>
            <w:proofErr w:type="spellEnd"/>
            <w:r w:rsidR="00A85A6A" w:rsidRPr="00B54A75">
              <w:rPr>
                <w:rFonts w:ascii="Calibri" w:eastAsia="Times New Roman" w:hAnsi="Calibri" w:cs="Calibri"/>
                <w:color w:val="000000"/>
                <w:sz w:val="20"/>
                <w:szCs w:val="20"/>
                <w:lang w:eastAsia="en-AU"/>
              </w:rPr>
              <w:t>, &amp; HC)</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lang w:eastAsia="en-AU"/>
              </w:rPr>
              <w:br/>
              <w:t xml:space="preserve">Associations were unchanged following exclusion of dementia cases  </w:t>
            </w:r>
          </w:p>
        </w:tc>
      </w:tr>
      <w:tr w:rsidR="009321E8" w:rsidRPr="00B54A75" w:rsidTr="00222F25">
        <w:trPr>
          <w:trHeight w:val="1935"/>
        </w:trPr>
        <w:tc>
          <w:tcPr>
            <w:tcW w:w="1840" w:type="dxa"/>
            <w:tcBorders>
              <w:top w:val="nil"/>
              <w:left w:val="nil"/>
              <w:bottom w:val="nil"/>
              <w:right w:val="nil"/>
            </w:tcBorders>
            <w:shd w:val="clear" w:color="auto" w:fill="auto"/>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lastRenderedPageBreak/>
              <w:t>Tan et al.</w:t>
            </w:r>
            <w:r w:rsidR="0090349C"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"10.1212/WNL.0b013e318249f6a9", "ISSN" : "1526-632X", "PMID" : "22371413", "abstract" : "OBJECTIVE: Higher dietary intake and circulating levels of docosahexaenoic acid (DHA) and eicosapentaenoic acid (EPA) have been related to a reduced risk for dementia, but the pathways underlying this association remain unclear. We examined the cross-sectional relation of red blood cell (RBC) fatty acid levels to subclinical imaging and cognitive markers of dementia risk in a middle-aged to elderly community-based cohort. METHODS: We related RBC DHA and EPA levels in dementia-free Framingham Study participants (n = 1575; 854 women, age 67 \u00b1 9 years) to performance on cognitive tests and to volumetric brain MRI, with serial adjustments for age, sex, and education (model A, primary model), additionally for APOE \u03b54 and plasma homocysteine (model B), and also for physical activity and body mass index (model C), or for traditional vascular risk factors (model D). RESULTS: Participants with RBC DHA levels in the lowest quartile (Q1) when compared to others (Q2-4) had lower total brain and greater white matter hyperintensity volumes (for model A: \u03b2 \u00b1 SE = -0.49 \u00b1 0.19; p = 0.009, and 0.12 \u00b1 0.06; p = 0.049, respectively) with persistence of the association with total brain volume in multivariable analyses. Participants with lower DHA and \u03c9-3 index (RBC DHA+EPA) levels (Q1 vs. Q2-4) also had lower scores on tests of visual memory (\u03b2 \u00b1 SE = -0.47 \u00b1 0.18; p = 0.008), executive function (\u03b2 \u00b1 SE = -0.07 \u00b1 0.03; p = 0.004), and abstract thinking (\u03b2 \u00b1 SE = -0.52 \u00b1 0.18; p = 0.004) in model A, the results remaining significant in all models. CONCLUSION: Lower RBC DHA levels are associated with smaller brain volumes and a \"vascular\" pattern of cognitive impairment even in persons free of clinical dementia.", "author" : [ { "dropping-particle" : "", "family" : "Tan", "given" : "Z S", "non-dropping-particle" : "", "parse-names" : false, "suffix" : "" }, { "dropping-particle" : "", "family" : "Harris", "given" : "W S", "non-dropping-particle" : "", "parse-names" : false, "suffix" : "" }, { "dropping-particle" : "", "family" : "Beiser", "given" : "A S", "non-dropping-particle" : "", "parse-names" : false, "suffix" : "" }, { "dropping-particle" : "", "family" : "Au", "given" : "R", "non-dropping-particle" : "", "parse-names" : false, "suffix" : "" }, { "dropping-particle" : "", "family" : "Himali", "given" : "J J", "non-dropping-particle" : "", "parse-names" : false, "suffix" : "" }, { "dropping-particle" : "", "family" : "Debette", "given" : "S", "non-dropping-particle" : "", "parse-names" : false, "suffix" : "" }, { "dropping-particle" : "", "family" : "Pikula", "given" : "A", "non-dropping-particle" : "", "parse-names" : false, "suffix" : "" }, { "dropping-particle" : "", "family" : "Decarli", "given" : "C", "non-dropping-particle" : "", "parse-names" : false, "suffix" : "" }, { "dropping-particle" : "", "family" : "Wolf", "given" : "P a", "non-dropping-particle" : "", "parse-names" : false, "suffix" : "" }, { "dropping-particle" : "", "family" : "Vasan", "given" : "R S", "non-dropping-particle" : "", "parse-names" : false, "suffix" : "" }, { "dropping-particle" : "", "family" : "Robins", "given" : "S J", "non-dropping-particle" : "", "parse-names" : false, "suffix" : "" }, { "dropping-particle" : "", "family" : "Seshadri", "given" : "S", "non-dropping-particle" : "", "parse-names" : false, "suffix" : "" } ], "container-title" : "Neurology", "id" : "ITEM-1", "issued" : { "date-parts" : [ [ "2012", "2", "28" ] ] }, "page" : "658-664", "title" : "Red blood cell omega-3 fatty acid levels and markers of accelerated brain aging.", "type" : "article-journal", "volume" : "78" }, "uris" : [ "http://www.mendeley.com/documents/?uuid=0e91e178-32e1-4c7b-9b94-1922ad3a0bb6" ] } ], "mendeley" : { "formattedCitation" : "&lt;sup&gt;(32)&lt;/sup&gt;", "plainTextFormattedCitation" : "(32)", "previouslyFormattedCitation" : "&lt;sup&gt;(32)&lt;/sup&gt;" }, "properties" : { "noteIndex" : 0 }, "schema" : "https://github.com/citation-style-language/schema/raw/master/csl-citation.json" }</w:instrText>
            </w:r>
            <w:r w:rsidR="0090349C"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(32)</w:t>
            </w:r>
            <w:r w:rsidR="0090349C"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mbria Math" w:eastAsia="Times New Roman" w:hAnsi="Cambria Math" w:cs="Cambria Math"/>
                <w:color w:val="000000"/>
                <w:sz w:val="20"/>
                <w:szCs w:val="20"/>
                <w:lang w:eastAsia="en-AU"/>
              </w:rPr>
              <w:t>⍵</w:t>
            </w:r>
            <w:r w:rsidRPr="00B54A75">
              <w:rPr>
                <w:rFonts w:ascii="Calibri" w:eastAsia="Times New Roman" w:hAnsi="Calibri" w:cs="Calibri"/>
                <w:color w:val="000000"/>
                <w:sz w:val="20"/>
                <w:szCs w:val="20"/>
                <w:lang w:eastAsia="en-AU"/>
              </w:rPr>
              <w:t>3-FA</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1,575</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67.0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9.0</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Lowest quartile RBC DHA</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WMHv</w:t>
            </w:r>
            <w:proofErr w:type="spellEnd"/>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Lowest quartile </w:t>
            </w:r>
            <w:r w:rsidRPr="00B54A75">
              <w:rPr>
                <w:rFonts w:ascii="Cambria Math" w:eastAsia="Times New Roman" w:hAnsi="Cambria Math" w:cs="Cambria Math"/>
                <w:color w:val="000000"/>
                <w:sz w:val="20"/>
                <w:szCs w:val="20"/>
                <w:u w:val="single"/>
                <w:lang w:eastAsia="en-AU"/>
              </w:rPr>
              <w:t>⍵</w:t>
            </w:r>
            <w:r w:rsidRPr="00B54A75">
              <w:rPr>
                <w:rFonts w:ascii="Calibri" w:eastAsia="Times New Roman" w:hAnsi="Calibri" w:cs="Calibri"/>
                <w:color w:val="000000"/>
                <w:sz w:val="20"/>
                <w:szCs w:val="20"/>
                <w:u w:val="single"/>
                <w:lang w:eastAsia="en-AU"/>
              </w:rPr>
              <w:t xml:space="preserve">3-FA </w:t>
            </w:r>
            <w:proofErr w:type="gramStart"/>
            <w:r w:rsidRPr="00B54A75">
              <w:rPr>
                <w:rFonts w:ascii="Calibri" w:eastAsia="Times New Roman" w:hAnsi="Calibri" w:cs="Calibri"/>
                <w:color w:val="000000"/>
                <w:sz w:val="20"/>
                <w:szCs w:val="20"/>
                <w:u w:val="single"/>
                <w:lang w:eastAsia="en-AU"/>
              </w:rPr>
              <w:t xml:space="preserve">index </w:t>
            </w:r>
            <w:r w:rsidRPr="00B54A75">
              <w:rPr>
                <w:rFonts w:ascii="Calibri" w:eastAsia="Times New Roman" w:hAnsi="Calibri" w:cs="Calibri"/>
                <w:color w:val="000000"/>
                <w:sz w:val="20"/>
                <w:szCs w:val="20"/>
                <w:lang w:eastAsia="en-AU"/>
              </w:rPr>
              <w:t xml:space="preserve"> was</w:t>
            </w:r>
            <w:proofErr w:type="gramEnd"/>
            <w:r w:rsidRPr="00B54A75">
              <w:rPr>
                <w:rFonts w:ascii="Calibri" w:eastAsia="Times New Roman" w:hAnsi="Calibri" w:cs="Calibri"/>
                <w:color w:val="000000"/>
                <w:sz w:val="20"/>
                <w:szCs w:val="20"/>
                <w:lang w:eastAsia="en-AU"/>
              </w:rPr>
              <w:t xml:space="preserve">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WMHv</w:t>
            </w:r>
            <w:proofErr w:type="spellEnd"/>
            <w:r w:rsidRPr="00B54A75">
              <w:rPr>
                <w:rFonts w:ascii="Calibri" w:eastAsia="Times New Roman" w:hAnsi="Calibri" w:cs="Calibri"/>
                <w:color w:val="000000"/>
                <w:sz w:val="20"/>
                <w:szCs w:val="20"/>
                <w:lang w:eastAsia="en-AU"/>
              </w:rPr>
              <w:t xml:space="preserve"> </w:t>
            </w:r>
          </w:p>
        </w:tc>
      </w:tr>
      <w:tr w:rsidR="009321E8" w:rsidRPr="00B54A75" w:rsidTr="00222F25">
        <w:trPr>
          <w:trHeight w:val="375"/>
        </w:trPr>
        <w:tc>
          <w:tcPr>
            <w:tcW w:w="184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r w:rsidRPr="00B54A75">
              <w:rPr>
                <w:rFonts w:ascii="Calibri" w:eastAsia="Times New Roman" w:hAnsi="Calibri" w:cs="Calibri"/>
                <w:b/>
                <w:bCs/>
                <w:iCs/>
                <w:color w:val="000000"/>
                <w:sz w:val="20"/>
                <w:szCs w:val="20"/>
                <w:lang w:eastAsia="en-AU"/>
              </w:rPr>
              <w:t>Vitamin D</w:t>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r>
      <w:tr w:rsidR="008251F9" w:rsidRPr="00B54A75" w:rsidTr="00222F25">
        <w:trPr>
          <w:trHeight w:val="855"/>
        </w:trPr>
        <w:tc>
          <w:tcPr>
            <w:tcW w:w="1840" w:type="dxa"/>
            <w:tcBorders>
              <w:top w:val="nil"/>
              <w:left w:val="nil"/>
              <w:bottom w:val="nil"/>
              <w:right w:val="nil"/>
            </w:tcBorders>
            <w:shd w:val="clear" w:color="000000" w:fill="D9D9D9"/>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Karakis</w:t>
            </w:r>
            <w:proofErr w:type="spellEnd"/>
            <w:r w:rsidRPr="00B54A75">
              <w:rPr>
                <w:rFonts w:ascii="Calibri" w:eastAsia="Times New Roman" w:hAnsi="Calibri" w:cs="Calibri"/>
                <w:color w:val="000000"/>
                <w:sz w:val="20"/>
                <w:szCs w:val="20"/>
                <w:lang w:eastAsia="en-AU"/>
              </w:rPr>
              <w:t xml:space="preserve"> et al.</w:t>
            </w:r>
            <w:r w:rsidR="0090349C"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"10.3233/JAD-150991", "author" : [ { "dropping-particle" : "", "family" : "Karakis", "given" : "Ioannis", "non-dropping-particle" : "", "parse-names" : false, "suffix" : "" }, { "dropping-particle" : "", "family" : "Pase", "given" : "Matthew P", "non-dropping-particle" : "", "parse-names" : false, "suffix" : "" }, { "dropping-particle" : "", "family" : "Beiser", "given" : "Alexa", "non-dropping-particle" : "", "parse-names" : false, "suffix" : "" }, { "dropping-particle" : "", "family" : "Booth", "given" : "Sarah L", "non-dropping-particle" : "", "parse-names" : false, "suffix" : "" }, { "dropping-particle" : "", "family" : "Jacques", "given" : "Paul F", "non-dropping-particle" : "", "parse-names" : false, "suffix" : "" }, { "dropping-particle" : "", "family" : "Human", "given" : "Agriculture", "non-dropping-particle" : "", "parse-names" : false, "suffix" : "" } ], "container-title" : "Journal of Alzheimer's disease", "id" : "ITEM-1", "issued" : { "date-parts" : [ [ "2016" ] ] }, "page" : "451-461", "title" : "Association of Serum Vitamin D with the Risk of Incident Dementia and Subclinical Indices of Brain Aging: The Framingham Heart Study", "type" : "article-journal", "volume" : "51" }, "uris" : [ "http://www.mendeley.com/documents/?uuid=356221b7-67f5-43ec-ac1c-3948b3c4aa69" ] } ], "mendeley" : { "formattedCitation" : "&lt;sup&gt;(33)&lt;/sup&gt;", "plainTextFormattedCitation" : "(33)", "previouslyFormattedCitation" : "&lt;sup&gt;(33)&lt;/sup&gt;" }, "properties" : { "noteIndex" : 0 }, "schema" : "https://github.com/citation-style-language/schema/raw/master/csl-citation.json" }</w:instrText>
            </w:r>
            <w:r w:rsidR="0090349C"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(33)</w:t>
            </w:r>
            <w:r w:rsidR="0090349C"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VIT-D</w:t>
            </w:r>
          </w:p>
        </w:tc>
        <w:tc>
          <w:tcPr>
            <w:tcW w:w="1082" w:type="dxa"/>
            <w:tcBorders>
              <w:top w:val="nil"/>
              <w:left w:val="nil"/>
              <w:bottom w:val="nil"/>
              <w:right w:val="nil"/>
            </w:tcBorders>
            <w:shd w:val="clear" w:color="000000" w:fill="D9D9D9"/>
            <w:vAlign w:val="bottom"/>
            <w:hideMark/>
          </w:tcPr>
          <w:p w:rsidR="00112011" w:rsidRPr="00070EC0" w:rsidRDefault="00112011" w:rsidP="00112011">
            <w:pPr>
              <w:spacing w:after="0" w:line="240" w:lineRule="auto"/>
              <w:rPr>
                <w:rFonts w:ascii="Calibri" w:eastAsia="Times New Roman" w:hAnsi="Calibri" w:cs="Calibri"/>
                <w:color w:val="000000"/>
                <w:sz w:val="20"/>
                <w:szCs w:val="20"/>
                <w:lang w:eastAsia="en-AU"/>
              </w:rPr>
            </w:pPr>
            <w:r w:rsidRPr="00070EC0">
              <w:rPr>
                <w:rFonts w:ascii="Calibri" w:eastAsia="Times New Roman" w:hAnsi="Calibri" w:cs="Calibri"/>
                <w:color w:val="000000"/>
                <w:sz w:val="20"/>
                <w:szCs w:val="20"/>
                <w:lang w:eastAsia="en-AU"/>
              </w:rPr>
              <w:t>DF</w:t>
            </w:r>
            <w:r w:rsidR="00070EC0" w:rsidRPr="00070EC0">
              <w:rPr>
                <w:rFonts w:cstheme="minorHAnsi"/>
              </w:rPr>
              <w:t>§</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1,291</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59.50</w:t>
            </w:r>
          </w:p>
        </w:tc>
        <w:tc>
          <w:tcPr>
            <w:tcW w:w="1417" w:type="dxa"/>
            <w:tcBorders>
              <w:top w:val="nil"/>
              <w:left w:val="nil"/>
              <w:bottom w:val="nil"/>
              <w:right w:val="nil"/>
            </w:tcBorders>
            <w:shd w:val="clear" w:color="000000" w:fill="D9D9D9"/>
            <w:noWrap/>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9.10</w:t>
            </w:r>
          </w:p>
        </w:tc>
        <w:tc>
          <w:tcPr>
            <w:tcW w:w="5760" w:type="dxa"/>
            <w:tcBorders>
              <w:top w:val="nil"/>
              <w:left w:val="nil"/>
              <w:bottom w:val="nil"/>
              <w:right w:val="nil"/>
            </w:tcBorders>
            <w:shd w:val="clear" w:color="000000" w:fill="D9D9D9"/>
            <w:vAlign w:val="bottom"/>
            <w:hideMark/>
          </w:tcPr>
          <w:p w:rsidR="00112011" w:rsidRPr="00B54A75" w:rsidRDefault="00112011" w:rsidP="008A7ACA">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008A7ACA" w:rsidRPr="00B54A75">
              <w:rPr>
                <w:rFonts w:ascii="Calibri" w:eastAsia="Times New Roman" w:hAnsi="Calibri" w:cs="Calibri"/>
                <w:color w:val="000000"/>
                <w:sz w:val="20"/>
                <w:szCs w:val="20"/>
                <w:u w:val="single"/>
                <w:lang w:eastAsia="en-AU"/>
              </w:rPr>
              <w:t>VIT-D</w:t>
            </w:r>
            <w:r w:rsidRPr="00B54A75">
              <w:rPr>
                <w:rFonts w:ascii="Calibri" w:eastAsia="Times New Roman" w:hAnsi="Calibri" w:cs="Calibri"/>
                <w:color w:val="000000"/>
                <w:sz w:val="20"/>
                <w:szCs w:val="20"/>
                <w:u w:val="single"/>
                <w:lang w:eastAsia="en-AU"/>
              </w:rPr>
              <w:t xml:space="preserve"> deficiency</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HCv</w:t>
            </w:r>
            <w:proofErr w:type="spellEnd"/>
            <w:r w:rsidRPr="00B54A75">
              <w:rPr>
                <w:rFonts w:ascii="Calibri" w:eastAsia="Times New Roman" w:hAnsi="Calibri" w:cs="Calibri"/>
                <w:color w:val="000000"/>
                <w:sz w:val="20"/>
                <w:szCs w:val="20"/>
                <w:lang w:eastAsia="en-AU"/>
              </w:rPr>
              <w:t xml:space="preserve">. </w:t>
            </w:r>
          </w:p>
        </w:tc>
      </w:tr>
      <w:tr w:rsidR="009321E8" w:rsidRPr="00B54A75" w:rsidTr="00222F25">
        <w:trPr>
          <w:trHeight w:val="900"/>
        </w:trPr>
        <w:tc>
          <w:tcPr>
            <w:tcW w:w="1840" w:type="dxa"/>
            <w:tcBorders>
              <w:top w:val="nil"/>
              <w:left w:val="nil"/>
              <w:bottom w:val="nil"/>
              <w:right w:val="nil"/>
            </w:tcBorders>
            <w:shd w:val="clear" w:color="auto" w:fill="auto"/>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Walhovd</w:t>
            </w:r>
            <w:proofErr w:type="spellEnd"/>
            <w:r w:rsidRPr="00B54A75">
              <w:rPr>
                <w:rFonts w:ascii="Calibri" w:eastAsia="Times New Roman" w:hAnsi="Calibri" w:cs="Calibri"/>
                <w:color w:val="000000"/>
                <w:sz w:val="20"/>
                <w:szCs w:val="20"/>
                <w:lang w:eastAsia="en-AU"/>
              </w:rPr>
              <w:t xml:space="preserve"> et al.</w:t>
            </w:r>
            <w:r w:rsidR="0090349C"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"10.1016/j.neurobiolaging.2013.11.011", "ISSN" : "1558-1497", "PMID" : "24332985", "abstract" : "We hypothesized that higher levels of omega-3 fatty acids, vitamin D, and physical activity relate to cortical sparing, whereas higher levels of cholesterol, systolic blood pressure, and body mass index (BMI) relate to increased atrophy in the adult lifespan. Longitudinal measures of cortical thickness were derived from magnetic resonance imaging scans acquired (mean interval 3.6 years) from 203 healthy persons aged 23-87 years. At follow-up, measures of BMI, blood pressure, and physical activity were obtained. Blood levels of docosahexaenoic acid, eicosapentaenoic acid, vitamin D, and cholesterol were measured in a subsample (n = 92). Effects were tested in cortical surface-based analyses, with sex, age, follow-up interval, and the interactions between each included as covariates. Higher levels of docosahexaenoic acid, vitamin D, and physical activity related to cortical sparing. Higher cholesterol and BMI related to increased cortical thinning. Effects were independent, did not interact with age, and the cholesterol effect was restricted to males. Eicosapentaenoic acid and blood pressure showed no effects. The observed effects show promise for potential factors to reduce cortical atrophy in normal aging.", "author" : [ { "dropping-particle" : "", "family" : "Walhovd", "given" : "Kristine B", "non-dropping-particle" : "", "parse-names" : false, "suffix" : "" }, { "dropping-particle" : "", "family" : "Storsve", "given" : "Andreas B", "non-dropping-particle" : "", "parse-names" : false, "suffix" : "" }, { "dropping-particle" : "", "family" : "Westlye", "given" : "Lars T", "non-dropping-particle" : "", "parse-names" : false, "suffix" : "" }, { "dropping-particle" : "", "family" : "Drevon", "given" : "Christian a", "non-dropping-particle" : "", "parse-names" : false, "suffix" : "" }, { "dropping-particle" : "", "family" : "Fjell", "given" : "Anders M", "non-dropping-particle" : "", "parse-names" : false, "suffix" : "" } ], "container-title" : "Neurobiology of Aging", "id" : "ITEM-1", "issued" : { "date-parts" : [ [ "2014", "5" ] ] }, "page" : "1055-1064", "publisher" : "Elsevier Ltd", "title" : "Blood markers of fatty acids and vitamin D, cardiovascular measures, body mass index, and physical activity relate to longitudinal cortical thinning in normal aging", "type" : "article-journal", "volume" : "35" }, "uris" : [ "http://www.mendeley.com/documents/?uuid=ffff246d-fb29-4950-b966-c2737753d108" ] } ], "mendeley" : { "formattedCitation" : "&lt;sup&gt;(28)&lt;/sup&gt;", "plainTextFormattedCitation" : "(28)", "previouslyFormattedCitation" : "&lt;sup&gt;(28)&lt;/sup&gt;" }, "properties" : { "noteIndex" : 0 }, "schema" : "https://github.com/citation-style-language/schema/raw/master/csl-citation.json" }</w:instrText>
            </w:r>
            <w:r w:rsidR="0090349C"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(28)</w:t>
            </w:r>
            <w:r w:rsidR="0090349C"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VIT-D</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92</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44.40 - 86.30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63.30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8.70</w:t>
            </w:r>
          </w:p>
        </w:tc>
        <w:tc>
          <w:tcPr>
            <w:tcW w:w="5760" w:type="dxa"/>
            <w:tcBorders>
              <w:top w:val="nil"/>
              <w:left w:val="nil"/>
              <w:bottom w:val="nil"/>
              <w:right w:val="nil"/>
            </w:tcBorders>
            <w:shd w:val="clear" w:color="auto" w:fill="auto"/>
            <w:vAlign w:val="bottom"/>
            <w:hideMark/>
          </w:tcPr>
          <w:p w:rsidR="00112011" w:rsidRPr="00B54A75" w:rsidRDefault="00112011" w:rsidP="008A7ACA">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iCs/>
                <w:color w:val="000000"/>
                <w:sz w:val="20"/>
                <w:szCs w:val="20"/>
                <w:lang w:eastAsia="en-AU"/>
              </w:rPr>
              <w:t>Longitudinal</w:t>
            </w:r>
            <w:r w:rsidRPr="00B54A75">
              <w:rPr>
                <w:rFonts w:ascii="Calibri" w:eastAsia="Times New Roman" w:hAnsi="Calibri" w:cs="Calibri"/>
                <w:b/>
                <w:bCs/>
                <w:color w:val="000000"/>
                <w:sz w:val="20"/>
                <w:szCs w:val="20"/>
                <w:lang w:eastAsia="en-AU"/>
              </w:rPr>
              <w:t xml:space="preserve"> (MRI; 2 years)</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r w:rsidR="008A7ACA" w:rsidRPr="00B54A75">
              <w:rPr>
                <w:rFonts w:ascii="Calibri" w:eastAsia="Times New Roman" w:hAnsi="Calibri" w:cs="Calibri"/>
                <w:color w:val="000000"/>
                <w:sz w:val="20"/>
                <w:szCs w:val="20"/>
                <w:u w:val="single"/>
                <w:lang w:eastAsia="en-AU"/>
              </w:rPr>
              <w:t>VIT-D</w:t>
            </w:r>
            <w:r w:rsidRPr="00B54A75">
              <w:rPr>
                <w:rFonts w:ascii="Calibri" w:eastAsia="Times New Roman" w:hAnsi="Calibri" w:cs="Calibri"/>
                <w:color w:val="000000"/>
                <w:sz w:val="20"/>
                <w:szCs w:val="20"/>
                <w:u w:val="single"/>
                <w:lang w:eastAsia="en-AU"/>
              </w:rPr>
              <w:t xml:space="preserve"> levels</w:t>
            </w:r>
            <w:r w:rsidRPr="00B54A75">
              <w:rPr>
                <w:rFonts w:ascii="Calibri" w:eastAsia="Times New Roman" w:hAnsi="Calibri" w:cs="Calibri"/>
                <w:color w:val="000000"/>
                <w:sz w:val="20"/>
                <w:szCs w:val="20"/>
                <w:lang w:eastAsia="en-AU"/>
              </w:rPr>
              <w:t xml:space="preserve"> were associated with:</w:t>
            </w:r>
            <w:r w:rsidRPr="00B54A75">
              <w:rPr>
                <w:rFonts w:ascii="Calibri" w:eastAsia="Times New Roman" w:hAnsi="Calibri" w:cs="Calibri"/>
                <w:color w:val="000000"/>
                <w:sz w:val="20"/>
                <w:szCs w:val="20"/>
                <w:lang w:eastAsia="en-AU"/>
              </w:rPr>
              <w:br/>
              <w:t xml:space="preserve">           ↓ C-thin within </w:t>
            </w:r>
            <w:proofErr w:type="spellStart"/>
            <w:r w:rsidRPr="00B54A75">
              <w:rPr>
                <w:rFonts w:ascii="Calibri" w:eastAsia="Times New Roman" w:hAnsi="Calibri" w:cs="Calibri"/>
                <w:color w:val="000000"/>
                <w:sz w:val="20"/>
                <w:szCs w:val="20"/>
                <w:lang w:eastAsia="en-AU"/>
              </w:rPr>
              <w:t>rLPFC</w:t>
            </w:r>
            <w:proofErr w:type="spellEnd"/>
          </w:p>
        </w:tc>
      </w:tr>
      <w:tr w:rsidR="009321E8" w:rsidRPr="00B54A75" w:rsidTr="00222F25">
        <w:trPr>
          <w:trHeight w:val="360"/>
        </w:trPr>
        <w:tc>
          <w:tcPr>
            <w:tcW w:w="1840" w:type="dxa"/>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r w:rsidRPr="00B54A75">
              <w:rPr>
                <w:rFonts w:ascii="Calibri" w:eastAsia="Times New Roman" w:hAnsi="Calibri" w:cs="Calibri"/>
                <w:b/>
                <w:bCs/>
                <w:iCs/>
                <w:color w:val="000000"/>
                <w:sz w:val="20"/>
                <w:szCs w:val="20"/>
                <w:lang w:eastAsia="en-AU"/>
              </w:rPr>
              <w:t>Nutrient Patterns</w:t>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r>
      <w:tr w:rsidR="008251F9" w:rsidRPr="00B54A75" w:rsidTr="00222F25">
        <w:trPr>
          <w:trHeight w:val="2100"/>
        </w:trPr>
        <w:tc>
          <w:tcPr>
            <w:tcW w:w="1840" w:type="dxa"/>
            <w:tcBorders>
              <w:top w:val="nil"/>
              <w:left w:val="nil"/>
              <w:bottom w:val="nil"/>
              <w:right w:val="nil"/>
            </w:tcBorders>
            <w:shd w:val="clear" w:color="000000" w:fill="D9D9D9"/>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Gu et al.</w:t>
            </w:r>
            <w:r w:rsidR="0090349C"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"10.1002/ana.24674", "author" : [ { "dropping-particle" : "", "family" : "Gu", "given" : "Yian", "non-dropping-particle" : "", "parse-names" : false, "suffix" : "" }, { "dropping-particle" : "", "family" : "Vorburger", "given" : "Robert S", "non-dropping-particle" : "", "parse-names" : false, "suffix" : "" }, { "dropping-particle" : "", "family" : "Gazes", "given" : "Yunglin", "non-dropping-particle" : "", "parse-names" : false, "suffix" : "" }, { "dropping-particle" : "", "family" : "Habeck", "given" : "Christian G", "non-dropping-particle" : "", "parse-names" : false, "suffix" : "" }, { "dropping-particle" : "", "family" : "Stern", "given" : "Yaakov", "non-dropping-particle" : "", "parse-names" : false, "suffix" : "" }, { "dropping-particle" : "", "family" : "Luchsinger", "given" : "A", "non-dropping-particle" : "", "parse-names" : false, "suffix" : "" }, { "dropping-particle" : "", "family" : "Manly", "given" : "Jennifer J", "non-dropping-particle" : "", "parse-names" : false, "suffix" : "" }, { "dropping-particle" : "", "family" : "Schupf", "given" : "Nicole", "non-dropping-particle" : "", "parse-names" : false, "suffix" : "" } ], "container-title" : "Annals of Neurology", "id" : "ITEM-1", "issued" : { "date-parts" : [ [ "2016" ] ] }, "page" : "1014-1025", "title" : "White Matter Integrity as a Mediator in the Relationship between Dietary Nutrients and Cognition in the Elderly", "type" : "article-journal", "volume" : "79" }, "uris" : [ "http://www.mendeley.com/documents/?uuid=406dcfe8-8be0-4bd5-83d9-5d25d9b72931" ] } ], "mendeley" : { "formattedCitation" : "&lt;sup&gt;(34)&lt;/sup&gt;", "plainTextFormattedCitation" : "(34)", "previouslyFormattedCitation" : "&lt;sup&gt;(34)&lt;/sup&gt;" }, "properties" : { "noteIndex" : 0 }, "schema" : "https://github.com/citation-style-language/schema/raw/master/csl-citation.json" }</w:instrText>
            </w:r>
            <w:r w:rsidR="0090349C"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(34)</w:t>
            </w:r>
            <w:r w:rsidR="0090349C"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NP (FFQ)</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Mixed</w:t>
            </w:r>
            <w:r w:rsidR="00BD13B8" w:rsidRPr="00B54A75">
              <w:rPr>
                <w:rFonts w:cstheme="minorHAnsi"/>
                <w:b/>
              </w:rPr>
              <w:t>**</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239</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84.10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5.10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 (MRI)</w:t>
            </w:r>
            <w:r w:rsidRPr="00B54A75">
              <w:rPr>
                <w:rFonts w:ascii="Calibri" w:eastAsia="Times New Roman" w:hAnsi="Calibri" w:cs="Calibri"/>
                <w:color w:val="000000"/>
                <w:sz w:val="20"/>
                <w:szCs w:val="20"/>
                <w:lang w:eastAsia="en-AU"/>
              </w:rPr>
              <w:br/>
            </w:r>
            <w:r w:rsidR="008A7ACA" w:rsidRPr="00B54A75">
              <w:rPr>
                <w:rFonts w:ascii="Calibri" w:eastAsia="Times New Roman" w:hAnsi="Calibri" w:cs="Calibri"/>
                <w:color w:val="000000"/>
                <w:sz w:val="20"/>
                <w:szCs w:val="20"/>
                <w:u w:val="single"/>
                <w:lang w:eastAsia="en-AU"/>
              </w:rPr>
              <w:t>↑NP (ω3-FA, ω6-FA, &amp; VIT-</w:t>
            </w:r>
            <w:r w:rsidRPr="00B54A75">
              <w:rPr>
                <w:rFonts w:ascii="Calibri" w:eastAsia="Times New Roman" w:hAnsi="Calibri" w:cs="Calibri"/>
                <w:color w:val="000000"/>
                <w:sz w:val="20"/>
                <w:szCs w:val="20"/>
                <w:u w:val="single"/>
                <w:lang w:eastAsia="en-AU"/>
              </w:rPr>
              <w:t>E</w:t>
            </w:r>
            <w:r w:rsidRPr="00B54A75">
              <w:rPr>
                <w:rFonts w:ascii="Calibri" w:eastAsia="Times New Roman" w:hAnsi="Calibri" w:cs="Calibri"/>
                <w:color w:val="000000"/>
                <w:sz w:val="20"/>
                <w:szCs w:val="20"/>
                <w:lang w:eastAsia="en-AU"/>
              </w:rPr>
              <w:t>) score was associated with:</w:t>
            </w:r>
            <w:r w:rsidRPr="00B54A75">
              <w:rPr>
                <w:rFonts w:ascii="Calibri" w:eastAsia="Times New Roman" w:hAnsi="Calibri" w:cs="Calibri"/>
                <w:color w:val="000000"/>
                <w:sz w:val="20"/>
                <w:szCs w:val="20"/>
                <w:lang w:eastAsia="en-AU"/>
              </w:rPr>
              <w:br/>
              <w:t xml:space="preserve">           ↑ Mean cerebral WM microstructure</w:t>
            </w:r>
            <w:r w:rsidRPr="00B54A75">
              <w:rPr>
                <w:rFonts w:ascii="Calibri" w:eastAsia="Times New Roman" w:hAnsi="Calibri" w:cs="Calibri"/>
                <w:color w:val="000000"/>
                <w:sz w:val="20"/>
                <w:szCs w:val="20"/>
                <w:lang w:eastAsia="en-AU"/>
              </w:rPr>
              <w:br/>
              <w:t>Only es</w:t>
            </w:r>
            <w:r w:rsidR="00AC73C6" w:rsidRPr="00B54A75">
              <w:rPr>
                <w:rFonts w:ascii="Calibri" w:eastAsia="Times New Roman" w:hAnsi="Calibri" w:cs="Calibri"/>
                <w:color w:val="000000"/>
                <w:sz w:val="20"/>
                <w:szCs w:val="20"/>
                <w:lang w:eastAsia="en-AU"/>
              </w:rPr>
              <w:t>timated intake of ω3-FA or VIT-</w:t>
            </w:r>
            <w:r w:rsidRPr="00B54A75">
              <w:rPr>
                <w:rFonts w:ascii="Calibri" w:eastAsia="Times New Roman" w:hAnsi="Calibri" w:cs="Calibri"/>
                <w:color w:val="000000"/>
                <w:sz w:val="20"/>
                <w:szCs w:val="20"/>
                <w:lang w:eastAsia="en-AU"/>
              </w:rPr>
              <w:t>E, was associated with:</w:t>
            </w:r>
            <w:r w:rsidRPr="00B54A75">
              <w:rPr>
                <w:rFonts w:ascii="Calibri" w:eastAsia="Times New Roman" w:hAnsi="Calibri" w:cs="Calibri"/>
                <w:color w:val="000000"/>
                <w:sz w:val="20"/>
                <w:szCs w:val="20"/>
                <w:lang w:eastAsia="en-AU"/>
              </w:rPr>
              <w:br/>
              <w:t xml:space="preserve">           ↑ WM microstructural integrity</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lang w:eastAsia="en-AU"/>
              </w:rPr>
              <w:br/>
              <w:t>After excluding dementia cases, NP (ω3-FA, ω6-FA, &amp; VIT-E) score or ω3-FA intake remained associated with WM microstructure</w:t>
            </w:r>
          </w:p>
        </w:tc>
      </w:tr>
      <w:tr w:rsidR="009321E8" w:rsidRPr="00B54A75" w:rsidTr="00222F25">
        <w:trPr>
          <w:trHeight w:val="2655"/>
        </w:trPr>
        <w:tc>
          <w:tcPr>
            <w:tcW w:w="1840" w:type="dxa"/>
            <w:tcBorders>
              <w:top w:val="nil"/>
              <w:left w:val="nil"/>
              <w:bottom w:val="nil"/>
              <w:right w:val="nil"/>
            </w:tcBorders>
            <w:shd w:val="clear" w:color="auto" w:fill="auto"/>
            <w:vAlign w:val="bottom"/>
            <w:hideMark/>
          </w:tcPr>
          <w:p w:rsidR="00112011" w:rsidRPr="00B54A75" w:rsidRDefault="00A85A6A" w:rsidP="001E46D5">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lastRenderedPageBreak/>
              <w:t>Berti</w:t>
            </w:r>
            <w:proofErr w:type="spellEnd"/>
            <w:r w:rsidRPr="00B54A75">
              <w:rPr>
                <w:rFonts w:ascii="Calibri" w:eastAsia="Times New Roman" w:hAnsi="Calibri" w:cs="Calibri"/>
                <w:color w:val="000000"/>
                <w:sz w:val="20"/>
                <w:szCs w:val="20"/>
                <w:lang w:eastAsia="en-AU"/>
              </w:rPr>
              <w:t xml:space="preserve"> et al.</w:t>
            </w:r>
            <w:r w:rsidR="0090349C"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"10.1007/s12603-014-0534-0", "ISSN" : "1760-4788", "PMID" : "25809805", "abstract" : "OBJECTIVES: Epidemiological evidence linking diet, one of the most important modifiable lifestyle factors, and risk of Alzheimer's disease (AD) is rapidly increasing. However, there is little or no evidence for a direct association between dietary nutrients and brain biomarkers of AD. This study identifies nutrient patterns associated with major brain AD biomarkers in a cohort of clinically and cognitively normal (NL) individuals at risk for AD. DESIGN: Cross-sectional study. SETTING: Manhattan (broader area). PARTICIPANTS: Fifty-two NL individuals (age 54+12 y, 70% women, Clinical Dementia Rating=0, MMSE&gt;27, neuropsychological test performance within norms by age and education) with complete dietary information and cross-sectional, 3D T1-weighted Magnetic Resonance Imaging (MRI; gray matter volumes, GMV, a marker of brain atrophy), 11C-Pittsburgh compound-B (PiB; a marker of fibrillar amyloid-\u03b2, A\u03b2) and 18F-fluorodeoxyglucose (FDG; a marker of glucose metabolism, METglc) Positron Emission Tomography (PET) scans were examined. MEASUREMENTS: Dietary intake of 35 nutrients associated with cognitive function and AD was assessed using the Harvard/Willet Food Frequency Questionnaire. Principal component analysis was used to generate nutrient patterns (NP) from the full nutrient panel. Statistical parametric mapping and voxel based morphometry were used to assess the associations of the identified NPs with AD biomarkers. RESULTS: None of the participants were diabetics, smokers, or met criteria for obesity. Five NPs were identified: NP1 was characterized by most B-vitamins and several minerals [VitB and Minerals]; NP2 by monounsaturated and polyunsaturated fats, including \u03c9-3 and \u03c9-6 PUFA, and vitamin E [VitE and PUFA]; NP3 by vitamin A, vitamin C, carotenoids and dietary fibers [Anti-oxidants and Fibers]; NP4 by vitamin B12, vitamin D and zinc [VitB12 and D]; NP5 by saturated, trans-saturated fats, cholesterol and sodium [Fats]. Voxel-based analysis showed that NP4 scores [VitB12 and D] were positively associated with METglc and GMV, and negatively associated with PiB retention in AD-vulnerable regions (p&lt;0.001). In addition, both METglc and GMV were positively associated with NP2 scores [VitE and PUFA], and negatively associated with NP5 scores [Fats] (p&lt;0.001), and METglc was positively associated with higher NP3 scores [Anti-oxidants and Fibers] (p&lt;0.001). Adjusting for age, gender, ethnicity, education, caloric intake, BMI, alcohol consumption, family hi\u2026", "author" : [ { "dropping-particle" : "", "family" : "Berti", "given" : "V", "non-dropping-particle" : "", "parse-names" : false, "suffix" : "" }, { "dropping-particle" : "", "family" : "Murray", "given" : "J", "non-dropping-particle" : "", "parse-names" : false, "suffix" : "" }, { "dropping-particle" : "", "family" : "Davies", "given" : "M", "non-dropping-particle" : "", "parse-names" : false, "suffix" : "" }, { "dropping-particle" : "", "family" : "Spector", "given" : "N", "non-dropping-particle" : "", "parse-names" : false, "suffix" : "" }, { "dropping-particle" : "", "family" : "Tsui", "given" : "W H", "non-dropping-particle" : "", "parse-names" : false, "suffix" : "" }, { "dropping-particle" : "", "family" : "Li", "given" : "Y", "non-dropping-particle" : "", "parse-names" : false, "suffix" : "" }, { "dropping-particle" : "", "family" : "Williams", "given" : "S", "non-dropping-particle" : "", "parse-names" : false, "suffix" : "" }, { "dropping-particle" : "", "family" : "Pirraglia", "given" : "E", "non-dropping-particle" : "", "parse-names" : false, "suffix" : "" }, { "dropping-particle" : "", "family" : "Vallabhajosula", "given" : "S", "non-dropping-particle" : "", "parse-names" : false, "suffix" : "" }, { "dropping-particle" : "", "family" : "McHugh", "given" : "P", "non-dropping-particle" : "", "parse-names" : false, "suffix" : "" }, { "dropping-particle" : "", "family" : "Pupi", "given" : "A", "non-dropping-particle" : "", "parse-names" : false, "suffix" : "" }, { "dropping-particle" : "", "family" : "Leon", "given" : "M J", "non-dropping-particle" : "de", "parse-names" : false, "suffix" : "" }, { "dropping-particle" : "", "family" : "Mosconi", "given" : "L", "non-dropping-particle" : "", "parse-names" : false, "suffix" : "" } ], "container-title" : "The Journal of Nutrition, Health &amp; Aging", "id" : "ITEM-1", "issued" : { "date-parts" : [ [ "2015", "4" ] ] }, "page" : "413-423", "title" : "Nutrient patterns and brain biomarkers of Alzheimer's disease in cognitively normal individuals", "type" : "article-journal", "volume" : "19" }, "uris" : [ "http://www.mendeley.com/documents/?uuid=6ac8ffe6-b5f4-4b78-b6ab-504721fd947b" ] } ], "mendeley" : { "formattedCitation" : "&lt;sup&gt;(35)&lt;/sup&gt;", "plainTextFormattedCitation" : "(35)", "previouslyFormattedCitation" : "&lt;sup&gt;(35)&lt;/sup&gt;" }, "properties" : { "noteIndex" : 0 }, "schema" : "https://github.com/citation-style-language/schema/raw/master/csl-citation.json" }</w:instrText>
            </w:r>
            <w:r w:rsidR="0090349C" w:rsidRPr="00B54A75">
              <w:rPr>
                <w:rFonts w:ascii="Calibri" w:eastAsia="Times New Roman" w:hAnsi="Calibri" w:cs="Calibri"/>
                <w:color w:val="000000"/>
                <w:sz w:val="20"/>
                <w:szCs w:val="20"/>
                <w:lang w:eastAsia="en-AU"/>
              </w:rPr>
              <w:fldChar w:fldCharType="separate"/>
            </w:r>
            <w:r w:rsidR="00B54A75" w:rsidRPr="00B54A75">
              <w:rPr>
                <w:rFonts w:ascii="Calibri" w:eastAsia="Times New Roman" w:hAnsi="Calibri" w:cs="Calibri"/>
                <w:noProof/>
                <w:color w:val="000000"/>
                <w:sz w:val="20"/>
                <w:szCs w:val="20"/>
                <w:vertAlign w:val="superscript"/>
                <w:lang w:eastAsia="en-AU"/>
              </w:rPr>
              <w:t>(35)</w:t>
            </w:r>
            <w:r w:rsidR="0090349C"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NP (FFQ)</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CN</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52</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25.0 - 72.0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54.0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11.0</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 (MRI)</w:t>
            </w:r>
            <w:r w:rsidRPr="00B54A75">
              <w:rPr>
                <w:rFonts w:ascii="Calibri" w:eastAsia="Times New Roman" w:hAnsi="Calibri" w:cs="Calibri"/>
                <w:color w:val="000000"/>
                <w:sz w:val="20"/>
                <w:szCs w:val="20"/>
                <w:lang w:eastAsia="en-AU"/>
              </w:rPr>
              <w:br/>
              <w:t>Of the 5 NP identified (3 associated with cerebral structure)</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lang w:eastAsia="en-AU"/>
              </w:rPr>
              <w:br/>
            </w:r>
            <w:r w:rsidR="00AC73C6" w:rsidRPr="00B54A75">
              <w:rPr>
                <w:rFonts w:ascii="Calibri" w:eastAsia="Times New Roman" w:hAnsi="Calibri" w:cs="Calibri"/>
                <w:color w:val="000000"/>
                <w:sz w:val="20"/>
                <w:szCs w:val="20"/>
                <w:u w:val="single"/>
                <w:lang w:eastAsia="en-AU"/>
              </w:rPr>
              <w:t>↑ NP-1 (VIT-</w:t>
            </w:r>
            <w:r w:rsidRPr="00B54A75">
              <w:rPr>
                <w:rFonts w:ascii="Calibri" w:eastAsia="Times New Roman" w:hAnsi="Calibri" w:cs="Calibri"/>
                <w:color w:val="000000"/>
                <w:sz w:val="20"/>
                <w:szCs w:val="20"/>
                <w:u w:val="single"/>
                <w:lang w:eastAsia="en-AU"/>
              </w:rPr>
              <w:t>B</w:t>
            </w:r>
            <w:r w:rsidRPr="00B54A75">
              <w:rPr>
                <w:rFonts w:ascii="Calibri" w:eastAsia="Times New Roman" w:hAnsi="Calibri" w:cs="Calibri"/>
                <w:color w:val="000000"/>
                <w:sz w:val="20"/>
                <w:szCs w:val="20"/>
                <w:u w:val="single"/>
                <w:vertAlign w:val="subscript"/>
                <w:lang w:eastAsia="en-AU"/>
              </w:rPr>
              <w:t>1</w:t>
            </w:r>
            <w:r w:rsidRPr="00B54A75">
              <w:rPr>
                <w:rFonts w:ascii="Calibri" w:eastAsia="Times New Roman" w:hAnsi="Calibri" w:cs="Calibri"/>
                <w:color w:val="000000"/>
                <w:sz w:val="20"/>
                <w:szCs w:val="20"/>
                <w:u w:val="single"/>
                <w:lang w:eastAsia="en-AU"/>
              </w:rPr>
              <w:t xml:space="preserve">, </w:t>
            </w:r>
            <w:r w:rsidR="00B14009">
              <w:rPr>
                <w:rFonts w:ascii="Calibri" w:eastAsia="Times New Roman" w:hAnsi="Calibri" w:cs="Calibri"/>
                <w:color w:val="000000"/>
                <w:sz w:val="20"/>
                <w:szCs w:val="20"/>
                <w:u w:val="single"/>
                <w:lang w:eastAsia="en-AU"/>
              </w:rPr>
              <w:t>VIT-</w:t>
            </w:r>
            <w:r w:rsidRPr="00B54A75">
              <w:rPr>
                <w:rFonts w:ascii="Calibri" w:eastAsia="Times New Roman" w:hAnsi="Calibri" w:cs="Calibri"/>
                <w:color w:val="000000"/>
                <w:sz w:val="20"/>
                <w:szCs w:val="20"/>
                <w:u w:val="single"/>
                <w:lang w:eastAsia="en-AU"/>
              </w:rPr>
              <w:t>B</w:t>
            </w:r>
            <w:r w:rsidRPr="00B54A75">
              <w:rPr>
                <w:rFonts w:ascii="Calibri" w:eastAsia="Times New Roman" w:hAnsi="Calibri" w:cs="Calibri"/>
                <w:color w:val="000000"/>
                <w:sz w:val="20"/>
                <w:szCs w:val="20"/>
                <w:u w:val="single"/>
                <w:vertAlign w:val="subscript"/>
                <w:lang w:eastAsia="en-AU"/>
              </w:rPr>
              <w:t>2</w:t>
            </w:r>
            <w:r w:rsidRPr="00B54A75">
              <w:rPr>
                <w:rFonts w:ascii="Calibri" w:eastAsia="Times New Roman" w:hAnsi="Calibri" w:cs="Calibri"/>
                <w:color w:val="000000"/>
                <w:sz w:val="20"/>
                <w:szCs w:val="20"/>
                <w:u w:val="single"/>
                <w:lang w:eastAsia="en-AU"/>
              </w:rPr>
              <w:t xml:space="preserve">, </w:t>
            </w:r>
            <w:r w:rsidR="00B14009">
              <w:rPr>
                <w:rFonts w:ascii="Calibri" w:eastAsia="Times New Roman" w:hAnsi="Calibri" w:cs="Calibri"/>
                <w:color w:val="000000"/>
                <w:sz w:val="20"/>
                <w:szCs w:val="20"/>
                <w:u w:val="single"/>
                <w:lang w:eastAsia="en-AU"/>
              </w:rPr>
              <w:t>VIT-</w:t>
            </w:r>
            <w:r w:rsidRPr="00B54A75">
              <w:rPr>
                <w:rFonts w:ascii="Calibri" w:eastAsia="Times New Roman" w:hAnsi="Calibri" w:cs="Calibri"/>
                <w:color w:val="000000"/>
                <w:sz w:val="20"/>
                <w:szCs w:val="20"/>
                <w:u w:val="single"/>
                <w:lang w:eastAsia="en-AU"/>
              </w:rPr>
              <w:t>B</w:t>
            </w:r>
            <w:r w:rsidRPr="00B54A75">
              <w:rPr>
                <w:rFonts w:ascii="Calibri" w:eastAsia="Times New Roman" w:hAnsi="Calibri" w:cs="Calibri"/>
                <w:color w:val="000000"/>
                <w:sz w:val="20"/>
                <w:szCs w:val="20"/>
                <w:u w:val="single"/>
                <w:vertAlign w:val="subscript"/>
                <w:lang w:eastAsia="en-AU"/>
              </w:rPr>
              <w:t>3</w:t>
            </w:r>
            <w:r w:rsidRPr="00B54A75">
              <w:rPr>
                <w:rFonts w:ascii="Calibri" w:eastAsia="Times New Roman" w:hAnsi="Calibri" w:cs="Calibri"/>
                <w:color w:val="000000"/>
                <w:sz w:val="20"/>
                <w:szCs w:val="20"/>
                <w:u w:val="single"/>
                <w:lang w:eastAsia="en-AU"/>
              </w:rPr>
              <w:t xml:space="preserve">, </w:t>
            </w:r>
            <w:r w:rsidR="00B14009">
              <w:rPr>
                <w:rFonts w:ascii="Calibri" w:eastAsia="Times New Roman" w:hAnsi="Calibri" w:cs="Calibri"/>
                <w:color w:val="000000"/>
                <w:sz w:val="20"/>
                <w:szCs w:val="20"/>
                <w:u w:val="single"/>
                <w:lang w:eastAsia="en-AU"/>
              </w:rPr>
              <w:t>VIT-</w:t>
            </w:r>
            <w:r w:rsidRPr="00B54A75">
              <w:rPr>
                <w:rFonts w:ascii="Calibri" w:eastAsia="Times New Roman" w:hAnsi="Calibri" w:cs="Calibri"/>
                <w:color w:val="000000"/>
                <w:sz w:val="20"/>
                <w:szCs w:val="20"/>
                <w:u w:val="single"/>
                <w:lang w:eastAsia="en-AU"/>
              </w:rPr>
              <w:t>B</w:t>
            </w:r>
            <w:r w:rsidRPr="00B54A75">
              <w:rPr>
                <w:rFonts w:ascii="Calibri" w:eastAsia="Times New Roman" w:hAnsi="Calibri" w:cs="Calibri"/>
                <w:color w:val="000000"/>
                <w:sz w:val="20"/>
                <w:szCs w:val="20"/>
                <w:u w:val="single"/>
                <w:vertAlign w:val="subscript"/>
                <w:lang w:eastAsia="en-AU"/>
              </w:rPr>
              <w:t>6</w:t>
            </w:r>
            <w:r w:rsidRPr="00B54A75">
              <w:rPr>
                <w:rFonts w:ascii="Calibri" w:eastAsia="Times New Roman" w:hAnsi="Calibri" w:cs="Calibri"/>
                <w:color w:val="000000"/>
                <w:sz w:val="20"/>
                <w:szCs w:val="20"/>
                <w:u w:val="single"/>
                <w:lang w:eastAsia="en-AU"/>
              </w:rPr>
              <w:t xml:space="preserve"> &amp; folic acid</w:t>
            </w:r>
            <w:r w:rsidRPr="00B54A75">
              <w:rPr>
                <w:rFonts w:ascii="Calibri" w:eastAsia="Times New Roman" w:hAnsi="Calibri" w:cs="Calibri"/>
                <w:color w:val="000000"/>
                <w:sz w:val="20"/>
                <w:szCs w:val="20"/>
                <w:lang w:eastAsia="en-AU"/>
              </w:rPr>
              <w:t>) score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within FL</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NP-4 (VIT-B</w:t>
            </w:r>
            <w:r w:rsidRPr="00B54A75">
              <w:rPr>
                <w:rFonts w:ascii="Calibri" w:eastAsia="Times New Roman" w:hAnsi="Calibri" w:cs="Calibri"/>
                <w:color w:val="000000"/>
                <w:sz w:val="20"/>
                <w:szCs w:val="20"/>
                <w:u w:val="single"/>
                <w:vertAlign w:val="subscript"/>
                <w:lang w:eastAsia="en-AU"/>
              </w:rPr>
              <w:t>12</w:t>
            </w:r>
            <w:r w:rsidRPr="00B54A75">
              <w:rPr>
                <w:rFonts w:ascii="Calibri" w:eastAsia="Times New Roman" w:hAnsi="Calibri" w:cs="Calibri"/>
                <w:color w:val="000000"/>
                <w:sz w:val="20"/>
                <w:szCs w:val="20"/>
                <w:u w:val="single"/>
                <w:lang w:eastAsia="en-AU"/>
              </w:rPr>
              <w:t>, VIT-D &amp; Zinc)</w:t>
            </w:r>
            <w:r w:rsidRPr="00B54A75">
              <w:rPr>
                <w:rFonts w:ascii="Calibri" w:eastAsia="Times New Roman" w:hAnsi="Calibri" w:cs="Calibri"/>
                <w:color w:val="000000"/>
                <w:sz w:val="20"/>
                <w:szCs w:val="20"/>
                <w:lang w:eastAsia="en-AU"/>
              </w:rPr>
              <w:t xml:space="preserve"> score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within FL &amp; TL                           </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NP-5 (S-Fat, T-Fat, cholesterol &amp; sodium)</w:t>
            </w:r>
            <w:r w:rsidRPr="00B54A75">
              <w:rPr>
                <w:rFonts w:ascii="Calibri" w:eastAsia="Times New Roman" w:hAnsi="Calibri" w:cs="Calibri"/>
                <w:color w:val="000000"/>
                <w:sz w:val="20"/>
                <w:szCs w:val="20"/>
                <w:lang w:eastAsia="en-AU"/>
              </w:rPr>
              <w:t xml:space="preserve"> score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within FL &amp; LL</w:t>
            </w:r>
          </w:p>
        </w:tc>
      </w:tr>
      <w:tr w:rsidR="008251F9" w:rsidRPr="00B54A75" w:rsidTr="00222F25">
        <w:trPr>
          <w:trHeight w:val="2685"/>
        </w:trPr>
        <w:tc>
          <w:tcPr>
            <w:tcW w:w="1840" w:type="dxa"/>
            <w:tcBorders>
              <w:top w:val="nil"/>
              <w:left w:val="nil"/>
              <w:bottom w:val="nil"/>
              <w:right w:val="nil"/>
            </w:tcBorders>
            <w:shd w:val="clear" w:color="000000" w:fill="D9D9D9"/>
            <w:vAlign w:val="bottom"/>
            <w:hideMark/>
          </w:tcPr>
          <w:p w:rsidR="00112011" w:rsidRPr="00B54A75" w:rsidRDefault="00B54A75" w:rsidP="001E46D5">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Bowman et al.</w:t>
            </w:r>
            <w:r w:rsidR="0090349C"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"Bowman", "given" : "G L", "non-dropping-particle" : "", "parse-names" : false, "suffix" : "" }, { "dropping-particle" : "", "family" : "Howieson", "given" : "D", "non-dropping-particle" : "", "parse-names" : false, "suffix" : "" }, { "dropping-particle" : "", "family" : "Traber", "given" : "M G", "non-dropping-particle" : "", "parse-names" : false, "suffix" : "" }, { "dropping-particle" : "", "family" : "Shannon", "given" : "J", "non-dropping-particle" : "", "parse-names" : false, "suffix" : "" }, { "dropping-particle" : "", "family" : "Quinn", "given" : "J F", "non-dropping-particle" : "", "parse-names" : false, "suffix" : "" } ], "container-title" : "Neurology", "id" : "ITEM-1", "issued" : { "date-parts" : [ [ "2012" ] ] }, "page" : "241-249", "title" : "Nutrient biomarker patterns, cognitive function, and MRI measures of brain aging", "type" : "article-journal", "volume" : "78" }, "uris" : [ "http://www.mendeley.com/documents/?uuid=310c8ca2-ad9b-482a-9813-6382a75cfbc7" ] } ], "mendeley" : { "formattedCitation" : "&lt;sup&gt;(36)&lt;/sup&gt;", "plainTextFormattedCitation" : "(36)", "previouslyFormattedCitation" : "&lt;sup&gt;(36)&lt;/sup&gt;" }, "properties" : { "noteIndex" : 0 }, "schema" : "https://github.com/citation-style-language/schema/raw/master/csl-citation.json" }</w:instrText>
            </w:r>
            <w:r w:rsidR="0090349C" w:rsidRPr="00B54A75">
              <w:rPr>
                <w:rFonts w:ascii="Calibri" w:eastAsia="Times New Roman" w:hAnsi="Calibri" w:cs="Calibri"/>
                <w:color w:val="000000"/>
                <w:sz w:val="20"/>
                <w:szCs w:val="20"/>
                <w:lang w:eastAsia="en-AU"/>
              </w:rPr>
              <w:fldChar w:fldCharType="separate"/>
            </w:r>
            <w:r w:rsidRPr="00B54A75">
              <w:rPr>
                <w:rFonts w:ascii="Calibri" w:eastAsia="Times New Roman" w:hAnsi="Calibri" w:cs="Calibri"/>
                <w:noProof/>
                <w:color w:val="000000"/>
                <w:sz w:val="20"/>
                <w:szCs w:val="20"/>
                <w:vertAlign w:val="superscript"/>
                <w:lang w:eastAsia="en-AU"/>
              </w:rPr>
              <w:t>(36)</w:t>
            </w:r>
            <w:r w:rsidR="0090349C"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NBP</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104</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87.0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(MRI) </w:t>
            </w:r>
            <w:r w:rsidRPr="00B54A75">
              <w:rPr>
                <w:rFonts w:ascii="Calibri" w:eastAsia="Times New Roman" w:hAnsi="Calibri" w:cs="Calibri"/>
                <w:color w:val="000000"/>
                <w:sz w:val="20"/>
                <w:szCs w:val="20"/>
                <w:lang w:eastAsia="en-AU"/>
              </w:rPr>
              <w:br/>
              <w:t>8 NBP identified (3 associated with cerebral structure)</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lang w:eastAsia="en-AU"/>
              </w:rPr>
              <w:br/>
            </w:r>
            <w:r w:rsidR="00B14009">
              <w:rPr>
                <w:rFonts w:ascii="Calibri" w:eastAsia="Times New Roman" w:hAnsi="Calibri" w:cs="Calibri"/>
                <w:color w:val="000000"/>
                <w:sz w:val="20"/>
                <w:szCs w:val="20"/>
                <w:u w:val="single"/>
                <w:lang w:eastAsia="en-AU"/>
              </w:rPr>
              <w:t>↑NBP-1 (VIT-</w:t>
            </w:r>
            <w:r w:rsidRPr="00B54A75">
              <w:rPr>
                <w:rFonts w:ascii="Calibri" w:eastAsia="Times New Roman" w:hAnsi="Calibri" w:cs="Calibri"/>
                <w:color w:val="000000"/>
                <w:sz w:val="20"/>
                <w:szCs w:val="20"/>
                <w:u w:val="single"/>
                <w:lang w:eastAsia="en-AU"/>
              </w:rPr>
              <w:t>B</w:t>
            </w:r>
            <w:r w:rsidRPr="00B54A75">
              <w:rPr>
                <w:rFonts w:ascii="Calibri" w:eastAsia="Times New Roman" w:hAnsi="Calibri" w:cs="Calibri"/>
                <w:color w:val="000000"/>
                <w:sz w:val="20"/>
                <w:szCs w:val="20"/>
                <w:u w:val="single"/>
                <w:vertAlign w:val="subscript"/>
                <w:lang w:eastAsia="en-AU"/>
              </w:rPr>
              <w:t>1</w:t>
            </w:r>
            <w:r w:rsidRPr="00B54A75">
              <w:rPr>
                <w:rFonts w:ascii="Calibri" w:eastAsia="Times New Roman" w:hAnsi="Calibri" w:cs="Calibri"/>
                <w:color w:val="000000"/>
                <w:sz w:val="20"/>
                <w:szCs w:val="20"/>
                <w:u w:val="single"/>
                <w:lang w:eastAsia="en-AU"/>
              </w:rPr>
              <w:t xml:space="preserve">, </w:t>
            </w:r>
            <w:r w:rsidR="00B14009">
              <w:rPr>
                <w:rFonts w:ascii="Calibri" w:eastAsia="Times New Roman" w:hAnsi="Calibri" w:cs="Calibri"/>
                <w:color w:val="000000"/>
                <w:sz w:val="20"/>
                <w:szCs w:val="20"/>
                <w:u w:val="single"/>
                <w:lang w:eastAsia="en-AU"/>
              </w:rPr>
              <w:t>VIT-</w:t>
            </w:r>
            <w:r w:rsidRPr="00B54A75">
              <w:rPr>
                <w:rFonts w:ascii="Calibri" w:eastAsia="Times New Roman" w:hAnsi="Calibri" w:cs="Calibri"/>
                <w:color w:val="000000"/>
                <w:sz w:val="20"/>
                <w:szCs w:val="20"/>
                <w:u w:val="single"/>
                <w:lang w:eastAsia="en-AU"/>
              </w:rPr>
              <w:t>B</w:t>
            </w:r>
            <w:r w:rsidRPr="00B54A75">
              <w:rPr>
                <w:rFonts w:ascii="Calibri" w:eastAsia="Times New Roman" w:hAnsi="Calibri" w:cs="Calibri"/>
                <w:color w:val="000000"/>
                <w:sz w:val="20"/>
                <w:szCs w:val="20"/>
                <w:u w:val="single"/>
                <w:vertAlign w:val="subscript"/>
                <w:lang w:eastAsia="en-AU"/>
              </w:rPr>
              <w:t>2</w:t>
            </w:r>
            <w:r w:rsidRPr="00B54A75">
              <w:rPr>
                <w:rFonts w:ascii="Calibri" w:eastAsia="Times New Roman" w:hAnsi="Calibri" w:cs="Calibri"/>
                <w:color w:val="000000"/>
                <w:sz w:val="20"/>
                <w:szCs w:val="20"/>
                <w:u w:val="single"/>
                <w:lang w:eastAsia="en-AU"/>
              </w:rPr>
              <w:t xml:space="preserve">, </w:t>
            </w:r>
            <w:r w:rsidR="00B14009">
              <w:rPr>
                <w:rFonts w:ascii="Calibri" w:eastAsia="Times New Roman" w:hAnsi="Calibri" w:cs="Calibri"/>
                <w:color w:val="000000"/>
                <w:sz w:val="20"/>
                <w:szCs w:val="20"/>
                <w:u w:val="single"/>
                <w:lang w:eastAsia="en-AU"/>
              </w:rPr>
              <w:t>VIT-</w:t>
            </w:r>
            <w:r w:rsidRPr="00B54A75">
              <w:rPr>
                <w:rFonts w:ascii="Calibri" w:eastAsia="Times New Roman" w:hAnsi="Calibri" w:cs="Calibri"/>
                <w:color w:val="000000"/>
                <w:sz w:val="20"/>
                <w:szCs w:val="20"/>
                <w:u w:val="single"/>
                <w:lang w:eastAsia="en-AU"/>
              </w:rPr>
              <w:t>B</w:t>
            </w:r>
            <w:r w:rsidRPr="00B54A75">
              <w:rPr>
                <w:rFonts w:ascii="Calibri" w:eastAsia="Times New Roman" w:hAnsi="Calibri" w:cs="Calibri"/>
                <w:color w:val="000000"/>
                <w:sz w:val="20"/>
                <w:szCs w:val="20"/>
                <w:u w:val="single"/>
                <w:vertAlign w:val="subscript"/>
                <w:lang w:eastAsia="en-AU"/>
              </w:rPr>
              <w:t>6</w:t>
            </w:r>
            <w:r w:rsidRPr="00B54A75">
              <w:rPr>
                <w:rFonts w:ascii="Calibri" w:eastAsia="Times New Roman" w:hAnsi="Calibri" w:cs="Calibri"/>
                <w:color w:val="000000"/>
                <w:sz w:val="20"/>
                <w:szCs w:val="20"/>
                <w:u w:val="single"/>
                <w:lang w:eastAsia="en-AU"/>
              </w:rPr>
              <w:t xml:space="preserve">, </w:t>
            </w:r>
            <w:r w:rsidR="00B14009">
              <w:rPr>
                <w:rFonts w:ascii="Calibri" w:eastAsia="Times New Roman" w:hAnsi="Calibri" w:cs="Calibri"/>
                <w:color w:val="000000"/>
                <w:sz w:val="20"/>
                <w:szCs w:val="20"/>
                <w:u w:val="single"/>
                <w:lang w:eastAsia="en-AU"/>
              </w:rPr>
              <w:t>VIT-</w:t>
            </w:r>
            <w:r w:rsidRPr="00B54A75">
              <w:rPr>
                <w:rFonts w:ascii="Calibri" w:eastAsia="Times New Roman" w:hAnsi="Calibri" w:cs="Calibri"/>
                <w:color w:val="000000"/>
                <w:sz w:val="20"/>
                <w:szCs w:val="20"/>
                <w:u w:val="single"/>
                <w:lang w:eastAsia="en-AU"/>
              </w:rPr>
              <w:t>B</w:t>
            </w:r>
            <w:r w:rsidRPr="00B54A75">
              <w:rPr>
                <w:rFonts w:ascii="Calibri" w:eastAsia="Times New Roman" w:hAnsi="Calibri" w:cs="Calibri"/>
                <w:color w:val="000000"/>
                <w:sz w:val="20"/>
                <w:szCs w:val="20"/>
                <w:u w:val="single"/>
                <w:vertAlign w:val="subscript"/>
                <w:lang w:eastAsia="en-AU"/>
              </w:rPr>
              <w:t>12</w:t>
            </w:r>
            <w:r w:rsidRPr="00B54A75">
              <w:rPr>
                <w:rFonts w:ascii="Calibri" w:eastAsia="Times New Roman" w:hAnsi="Calibri" w:cs="Calibri"/>
                <w:color w:val="000000"/>
                <w:sz w:val="20"/>
                <w:szCs w:val="20"/>
                <w:u w:val="single"/>
                <w:lang w:eastAsia="en-AU"/>
              </w:rPr>
              <w:t xml:space="preserve">, folate, </w:t>
            </w:r>
            <w:r w:rsidR="009F3693">
              <w:rPr>
                <w:rFonts w:ascii="Calibri" w:eastAsia="Times New Roman" w:hAnsi="Calibri" w:cs="Calibri"/>
                <w:color w:val="000000"/>
                <w:sz w:val="20"/>
                <w:szCs w:val="20"/>
                <w:u w:val="single"/>
                <w:lang w:eastAsia="en-AU"/>
              </w:rPr>
              <w:t>VIT-</w:t>
            </w:r>
            <w:r w:rsidRPr="00B54A75">
              <w:rPr>
                <w:rFonts w:ascii="Calibri" w:eastAsia="Times New Roman" w:hAnsi="Calibri" w:cs="Calibri"/>
                <w:color w:val="000000"/>
                <w:sz w:val="20"/>
                <w:szCs w:val="20"/>
                <w:u w:val="single"/>
                <w:lang w:eastAsia="en-AU"/>
              </w:rPr>
              <w:t xml:space="preserve">C, </w:t>
            </w:r>
            <w:r w:rsidR="009F3693">
              <w:rPr>
                <w:rFonts w:ascii="Calibri" w:eastAsia="Times New Roman" w:hAnsi="Calibri" w:cs="Calibri"/>
                <w:color w:val="000000"/>
                <w:sz w:val="20"/>
                <w:szCs w:val="20"/>
                <w:u w:val="single"/>
                <w:lang w:eastAsia="en-AU"/>
              </w:rPr>
              <w:t>VIT-</w:t>
            </w:r>
            <w:r w:rsidRPr="00B54A75">
              <w:rPr>
                <w:rFonts w:ascii="Calibri" w:eastAsia="Times New Roman" w:hAnsi="Calibri" w:cs="Calibri"/>
                <w:color w:val="000000"/>
                <w:sz w:val="20"/>
                <w:szCs w:val="20"/>
                <w:u w:val="single"/>
                <w:lang w:eastAsia="en-AU"/>
              </w:rPr>
              <w:t xml:space="preserve">D, &amp; </w:t>
            </w:r>
            <w:r w:rsidR="009F3693">
              <w:rPr>
                <w:rFonts w:ascii="Calibri" w:eastAsia="Times New Roman" w:hAnsi="Calibri" w:cs="Calibri"/>
                <w:color w:val="000000"/>
                <w:sz w:val="20"/>
                <w:szCs w:val="20"/>
                <w:u w:val="single"/>
                <w:lang w:eastAsia="en-AU"/>
              </w:rPr>
              <w:t>VIT-</w:t>
            </w:r>
            <w:r w:rsidRPr="00B54A75">
              <w:rPr>
                <w:rFonts w:ascii="Calibri" w:eastAsia="Times New Roman" w:hAnsi="Calibri" w:cs="Calibri"/>
                <w:color w:val="000000"/>
                <w:sz w:val="20"/>
                <w:szCs w:val="20"/>
                <w:u w:val="single"/>
                <w:lang w:eastAsia="en-AU"/>
              </w:rPr>
              <w:t>E</w:t>
            </w:r>
            <w:r w:rsidRPr="00B54A75">
              <w:rPr>
                <w:rFonts w:ascii="Calibri" w:eastAsia="Times New Roman" w:hAnsi="Calibri" w:cs="Calibri"/>
                <w:color w:val="000000"/>
                <w:sz w:val="20"/>
                <w:szCs w:val="20"/>
                <w:lang w:eastAsia="en-AU"/>
              </w:rPr>
              <w:t xml:space="preserve">) score was associated with: </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NBP-5 (ω3-FA)</w:t>
            </w:r>
            <w:r w:rsidRPr="00B54A75">
              <w:rPr>
                <w:rFonts w:ascii="Calibri" w:eastAsia="Times New Roman" w:hAnsi="Calibri" w:cs="Calibri"/>
                <w:color w:val="000000"/>
                <w:sz w:val="20"/>
                <w:szCs w:val="20"/>
                <w:lang w:eastAsia="en-AU"/>
              </w:rPr>
              <w:t xml:space="preserve"> score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WMHv</w:t>
            </w:r>
            <w:proofErr w:type="spellEnd"/>
            <w:r w:rsidRPr="00B54A75">
              <w:rPr>
                <w:rFonts w:ascii="Calibri" w:eastAsia="Times New Roman" w:hAnsi="Calibri" w:cs="Calibri"/>
                <w:color w:val="000000"/>
                <w:sz w:val="20"/>
                <w:szCs w:val="20"/>
                <w:lang w:eastAsia="en-AU"/>
              </w:rPr>
              <w:t xml:space="preserve"> </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NBP-8 (T-Fat)</w:t>
            </w:r>
            <w:r w:rsidRPr="00B54A75">
              <w:rPr>
                <w:rFonts w:ascii="Calibri" w:eastAsia="Times New Roman" w:hAnsi="Calibri" w:cs="Calibri"/>
                <w:color w:val="000000"/>
                <w:sz w:val="20"/>
                <w:szCs w:val="20"/>
                <w:lang w:eastAsia="en-AU"/>
              </w:rPr>
              <w:t xml:space="preserve"> score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p>
        </w:tc>
      </w:tr>
      <w:tr w:rsidR="009321E8" w:rsidRPr="00B54A75" w:rsidTr="002C1387">
        <w:trPr>
          <w:trHeight w:val="517"/>
        </w:trPr>
        <w:tc>
          <w:tcPr>
            <w:tcW w:w="2889" w:type="dxa"/>
            <w:gridSpan w:val="2"/>
            <w:tcBorders>
              <w:top w:val="nil"/>
              <w:left w:val="nil"/>
              <w:bottom w:val="nil"/>
              <w:right w:val="nil"/>
            </w:tcBorders>
            <w:shd w:val="clear" w:color="auto" w:fill="auto"/>
            <w:noWrap/>
            <w:vAlign w:val="bottom"/>
            <w:hideMark/>
          </w:tcPr>
          <w:p w:rsidR="00112011" w:rsidRPr="00B54A75" w:rsidRDefault="0090349C" w:rsidP="00112011">
            <w:pPr>
              <w:spacing w:after="0" w:line="240" w:lineRule="auto"/>
              <w:rPr>
                <w:rFonts w:ascii="Calibri" w:eastAsia="Times New Roman" w:hAnsi="Calibri" w:cs="Calibri"/>
                <w:b/>
                <w:bCs/>
                <w:iCs/>
                <w:color w:val="000000"/>
                <w:sz w:val="20"/>
                <w:szCs w:val="20"/>
                <w:lang w:eastAsia="en-AU"/>
              </w:rPr>
            </w:pPr>
            <w:r w:rsidRPr="00B54A75">
              <w:rPr>
                <w:rFonts w:ascii="Calibri" w:eastAsia="Times New Roman" w:hAnsi="Calibri" w:cs="Calibri"/>
                <w:b/>
                <w:bCs/>
                <w:iCs/>
                <w:color w:val="000000"/>
                <w:sz w:val="20"/>
                <w:szCs w:val="20"/>
                <w:lang w:eastAsia="en-AU"/>
              </w:rPr>
              <w:t>Mediterranean</w:t>
            </w:r>
            <w:r w:rsidR="00112011" w:rsidRPr="00B54A75">
              <w:rPr>
                <w:rFonts w:ascii="Calibri" w:eastAsia="Times New Roman" w:hAnsi="Calibri" w:cs="Calibri"/>
                <w:b/>
                <w:bCs/>
                <w:iCs/>
                <w:color w:val="000000"/>
                <w:sz w:val="20"/>
                <w:szCs w:val="20"/>
                <w:lang w:eastAsia="en-AU"/>
              </w:rPr>
              <w:t xml:space="preserve"> style diet</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r>
      <w:tr w:rsidR="008251F9" w:rsidRPr="00B54A75" w:rsidTr="002C1387">
        <w:trPr>
          <w:trHeight w:val="923"/>
        </w:trPr>
        <w:tc>
          <w:tcPr>
            <w:tcW w:w="1840" w:type="dxa"/>
            <w:tcBorders>
              <w:top w:val="nil"/>
              <w:left w:val="nil"/>
              <w:bottom w:val="nil"/>
              <w:right w:val="nil"/>
            </w:tcBorders>
            <w:shd w:val="clear" w:color="000000" w:fill="D9D9D9"/>
            <w:vAlign w:val="bottom"/>
            <w:hideMark/>
          </w:tcPr>
          <w:p w:rsidR="00112011" w:rsidRPr="00B54A75" w:rsidRDefault="00B54A75" w:rsidP="001E46D5">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Luciano et al.</w:t>
            </w:r>
            <w:r w:rsidR="0090349C"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"Luciano", "given" : "Michelle", "non-dropping-particle" : "", "parse-names" : false, "suffix" : "" }, { "dropping-particle" : "", "family" : "Corley", "given" : "Janie", "non-dropping-particle" : "", "parse-names" : false, "suffix" : "" }, { "dropping-particle" : "", "family" : "Cox", "given" : "Simon R", "non-dropping-particle" : "", "parse-names" : false, "suffix" : "" }, { "dropping-particle" : "", "family" : "Hernandez", "given" : "M.C.V.", "non-dropping-particle" : "", "parse-names" : false, "suffix" : "" }, { "dropping-particle" : "", "family" : "Craig", "given" : "Leone C A", "non-dropping-particle" : "", "parse-names" : false, "suffix" : "" }, { "dropping-particle" : "", "family" : "Dickie", "given" : "David Alexander", "non-dropping-particle" : "", "parse-names" : false, "suffix" : "" }, { "dropping-particle" : "", "family" : "Karama", "given" : "S.", "non-dropping-particle" : "", "parse-names" : false, "suffix" : "" }, { "dropping-particle" : "", "family" : "McNeill", "given" : "Geraldine M", "non-dropping-particle" : "", "parse-names" : false, "suffix" : "" }, { "dropping-particle" : "", "family" : "Bastin", "given" : "Mark E", "non-dropping-particle" : "", "parse-names" : false, "suffix" : "" }, { "dropping-particle" : "", "family" : "Wardlaw", "given" : "Joanna M", "non-dropping-particle" : "", "parse-names" : false, "suffix" : "" }, { "dropping-particle" : "", "family" : "Deary", "given" : "I.J.", "non-dropping-particle" : "", "parse-names" : false, "suffix" : "" } ], "container-title" : "Neurology", "id" : "ITEM-1", "issued" : { "date-parts" : [ [ "2017" ] ] }, "page" : "449-456", "title" : "Mediterranean-type diet and brain structural change from 73 to 76 years in a Scottish cohort", "type" : "article-journal", "volume" : "88" }, "uris" : [ "http://www.mendeley.com/documents/?uuid=7b69c185-5a77-4ff3-bab1-a8b0cd4db31d" ] } ], "mendeley" : { "formattedCitation" : "&lt;sup&gt;(37)&lt;/sup&gt;", "plainTextFormattedCitation" : "(37)", "previouslyFormattedCitation" : "&lt;sup&gt;(37)&lt;/sup&gt;" }, "properties" : { "noteIndex" : 0 }, "schema" : "https://github.com/citation-style-language/schema/raw/master/csl-citation.json" }</w:instrText>
            </w:r>
            <w:r w:rsidR="0090349C" w:rsidRPr="00B54A75">
              <w:rPr>
                <w:rFonts w:ascii="Calibri" w:eastAsia="Times New Roman" w:hAnsi="Calibri" w:cs="Calibri"/>
                <w:color w:val="000000"/>
                <w:sz w:val="20"/>
                <w:szCs w:val="20"/>
                <w:lang w:eastAsia="en-AU"/>
              </w:rPr>
              <w:fldChar w:fldCharType="separate"/>
            </w:r>
            <w:r w:rsidRPr="00B54A75">
              <w:rPr>
                <w:rFonts w:ascii="Calibri" w:eastAsia="Times New Roman" w:hAnsi="Calibri" w:cs="Calibri"/>
                <w:noProof/>
                <w:color w:val="000000"/>
                <w:sz w:val="20"/>
                <w:szCs w:val="20"/>
                <w:vertAlign w:val="superscript"/>
                <w:lang w:eastAsia="en-AU"/>
              </w:rPr>
              <w:t>(37)</w:t>
            </w:r>
            <w:r w:rsidR="0090349C"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MeDI</w:t>
            </w:r>
            <w:proofErr w:type="spellEnd"/>
            <w:r w:rsidRPr="00B54A75">
              <w:rPr>
                <w:rFonts w:ascii="Calibri" w:eastAsia="Times New Roman" w:hAnsi="Calibri" w:cs="Calibri"/>
                <w:color w:val="000000"/>
                <w:sz w:val="20"/>
                <w:szCs w:val="20"/>
                <w:lang w:eastAsia="en-AU"/>
              </w:rPr>
              <w:t xml:space="preserve"> (FFQ)</w:t>
            </w:r>
          </w:p>
        </w:tc>
        <w:tc>
          <w:tcPr>
            <w:tcW w:w="1082" w:type="dxa"/>
            <w:tcBorders>
              <w:top w:val="nil"/>
              <w:left w:val="nil"/>
              <w:bottom w:val="nil"/>
              <w:right w:val="nil"/>
            </w:tcBorders>
            <w:shd w:val="clear" w:color="000000" w:fill="D9D9D9"/>
            <w:vAlign w:val="bottom"/>
            <w:hideMark/>
          </w:tcPr>
          <w:p w:rsidR="00112011" w:rsidRPr="00B54A75" w:rsidRDefault="00CA60C8"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562</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Approx. 70.0 (at FFQ)</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72.65</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0.72</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iCs/>
                <w:color w:val="000000"/>
                <w:sz w:val="20"/>
                <w:szCs w:val="20"/>
                <w:lang w:eastAsia="en-AU"/>
              </w:rPr>
              <w:t xml:space="preserve">Longitudinal </w:t>
            </w:r>
            <w:r w:rsidRPr="00B54A75">
              <w:rPr>
                <w:rFonts w:ascii="Calibri" w:eastAsia="Times New Roman" w:hAnsi="Calibri" w:cs="Calibri"/>
                <w:b/>
                <w:bCs/>
                <w:color w:val="000000"/>
                <w:sz w:val="20"/>
                <w:szCs w:val="20"/>
                <w:lang w:eastAsia="en-AU"/>
              </w:rPr>
              <w:t>(MRI; 3 years</w:t>
            </w:r>
            <w:r w:rsidRPr="00B54A75">
              <w:rPr>
                <w:rFonts w:ascii="Calibri" w:eastAsia="Times New Roman" w:hAnsi="Calibri" w:cs="Calibri"/>
                <w:color w:val="000000"/>
                <w:sz w:val="20"/>
                <w:szCs w:val="20"/>
                <w:lang w:eastAsia="en-AU"/>
              </w:rPr>
              <w:t>)</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MeDI</w:t>
            </w:r>
            <w:proofErr w:type="spellEnd"/>
            <w:r w:rsidRPr="00B54A75">
              <w:rPr>
                <w:rFonts w:ascii="Calibri" w:eastAsia="Times New Roman" w:hAnsi="Calibri" w:cs="Calibri"/>
                <w:color w:val="000000"/>
                <w:sz w:val="20"/>
                <w:szCs w:val="20"/>
                <w:u w:val="single"/>
                <w:lang w:eastAsia="en-AU"/>
              </w:rPr>
              <w:t xml:space="preserve"> score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w:t>
            </w:r>
            <w:proofErr w:type="gramStart"/>
            <w:r w:rsidRPr="00B54A75">
              <w:rPr>
                <w:rFonts w:ascii="Calibri" w:eastAsia="Times New Roman" w:hAnsi="Calibri" w:cs="Calibri"/>
                <w:color w:val="000000"/>
                <w:sz w:val="20"/>
                <w:szCs w:val="20"/>
                <w:lang w:eastAsia="en-AU"/>
              </w:rPr>
              <w:t>3 year</w:t>
            </w:r>
            <w:proofErr w:type="gramEnd"/>
            <w:r w:rsidRPr="00B54A75">
              <w:rPr>
                <w:rFonts w:ascii="Calibri" w:eastAsia="Times New Roman" w:hAnsi="Calibri" w:cs="Calibri"/>
                <w:color w:val="000000"/>
                <w:sz w:val="20"/>
                <w:szCs w:val="20"/>
                <w:lang w:eastAsia="en-AU"/>
              </w:rPr>
              <w:t xml:space="preserve"> reduction in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t xml:space="preserve">       </w:t>
            </w:r>
          </w:p>
        </w:tc>
      </w:tr>
      <w:tr w:rsidR="009321E8" w:rsidRPr="00B54A75" w:rsidTr="00222F25">
        <w:trPr>
          <w:trHeight w:val="2700"/>
        </w:trPr>
        <w:tc>
          <w:tcPr>
            <w:tcW w:w="1840" w:type="dxa"/>
            <w:tcBorders>
              <w:top w:val="nil"/>
              <w:left w:val="nil"/>
              <w:bottom w:val="nil"/>
              <w:right w:val="nil"/>
            </w:tcBorders>
            <w:shd w:val="clear" w:color="auto" w:fill="auto"/>
            <w:vAlign w:val="bottom"/>
            <w:hideMark/>
          </w:tcPr>
          <w:p w:rsidR="00112011" w:rsidRPr="00B54A75" w:rsidRDefault="00B54A75" w:rsidP="001E46D5">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lastRenderedPageBreak/>
              <w:t>Staubo</w:t>
            </w:r>
            <w:proofErr w:type="spellEnd"/>
            <w:r w:rsidRPr="00B54A75">
              <w:rPr>
                <w:rFonts w:ascii="Calibri" w:eastAsia="Times New Roman" w:hAnsi="Calibri" w:cs="Calibri"/>
                <w:color w:val="000000"/>
                <w:sz w:val="20"/>
                <w:szCs w:val="20"/>
                <w:lang w:eastAsia="en-AU"/>
              </w:rPr>
              <w:t xml:space="preserve"> et al.</w:t>
            </w:r>
            <w:r w:rsidR="00CA60C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"10.1016/j.jalz.2016.06.2359", "ISSN" : "1552-5279", "PMID" : "27461490", "abstract" : "INTRODUCTION: The Mediterranean diet (MeDi) is associated with reduced risk of cognitive impairment, but it is unclear whether it is associated with better brain imaging biomarkers. METHODS: Among 672 cognitively normal participants (mean age, 79.8 years, 52.5% men), we investigated associations of MeDi score and MeDi components with magnetic resonance imaging measures of cortical thickness for the four lobes separately and averaged (average lobar). RESULTS: Higher MeDi score was associated with larger frontal, parietal, occipital, and average lobar cortical thickness. Higher legume and fish intakes were associated with larger cortical thickness: legumes with larger superior parietal, inferior parietal, precuneus, parietal, occipital, lingual, and fish with larger precuneus, superior parietal, posterior cingulate, parietal, and inferior parietal. Higher carbohydrate and sugar intakes were associated with lower entorhinal cortical thickness. DISCUSSION: In this sample of elderly persons, higher adherence to MeDi was associated with larger cortical thickness. These cross-sectional findings require validation in prospective studies.", "author" : [ { "dropping-particle" : "", "family" : "Staubo", "given" : "Sara C", "non-dropping-particle" : "", "parse-names" : false, "suffix" : "" }, { "dropping-particle" : "", "family" : "Aakre", "given" : "Jeremiah a", "non-dropping-particle" : "", "parse-names" : false, "suffix" : "" }, { "dropping-particle" : "", "family" : "Vemuri", "given" : "Prashanthi", "non-dropping-particle" : "", "parse-names" : false, "suffix" : "" }, { "dropping-particle" : "", "family" : "Syrjanen", "given" : "Jeremy A", "non-dropping-particle" : "", "parse-names" : false, "suffix" : "" }, { "dropping-particle" : "", "family" : "Mielke", "given" : "Michelle M", "non-dropping-particle" : "", "parse-names" : false, "suffix" : "" }, { "dropping-particle" : "", "family" : "Geda", "given" : "Yonas E", "non-dropping-particle" : "", "parse-names" : false, "suffix" : "" }, { "dropping-particle" : "", "family" : "Kremers", "given" : "Walter K", "non-dropping-particle" : "", "parse-names" : false, "suffix" : "" }, { "dropping-particle" : "", "family" : "Machulda", "given" : "Mary M", "non-dropping-particle" : "", "parse-names" : false, "suffix" : "" }, { "dropping-particle" : "", "family" : "Knopman", "given" : "David S", "non-dropping-particle" : "", "parse-names" : false, "suffix" : "" }, { "dropping-particle" : "", "family" : "Petersen", "given" : "Ronald C", "non-dropping-particle" : "", "parse-names" : false, "suffix" : "" }, { "dropping-particle" : "", "family" : "Jack", "given" : "Clifford R", "non-dropping-particle" : "", "parse-names" : false, "suffix" : "" }, { "dropping-particle" : "", "family" : "Roberts", "given" : "Rosebud O", "non-dropping-particle" : "", "parse-names" : false, "suffix" : "" } ], "container-title" : "Alzheimer's &amp; Dementia", "id" : "ITEM-1", "issued" : { "date-parts" : [ [ "2017", "7" ] ] }, "page" : "168-177", "publisher" : "Elsevier Inc.", "title" : "Mediterranean diet, micronutrients and macronutrients, and MRI measures of cortical thickness", "type" : "article-journal", "volume" : "13" }, "uris" : [ "http://www.mendeley.com/documents/?uuid=72da7314-4d18-4c8d-ab33-ed77d48c7e89" ] } ], "mendeley" : { "formattedCitation" : "&lt;sup&gt;(38)&lt;/sup&gt;", "plainTextFormattedCitation" : "(38)", "previouslyFormattedCitation" : "&lt;sup&gt;(38)&lt;/sup&gt;" }, "properties" : { "noteIndex" : 0 }, "schema" : "https://github.com/citation-style-language/schema/raw/master/csl-citation.json" }</w:instrText>
            </w:r>
            <w:r w:rsidR="00CA60C8" w:rsidRPr="00B54A75">
              <w:rPr>
                <w:rFonts w:ascii="Calibri" w:eastAsia="Times New Roman" w:hAnsi="Calibri" w:cs="Calibri"/>
                <w:color w:val="000000"/>
                <w:sz w:val="20"/>
                <w:szCs w:val="20"/>
                <w:lang w:eastAsia="en-AU"/>
              </w:rPr>
              <w:fldChar w:fldCharType="separate"/>
            </w:r>
            <w:r w:rsidRPr="00B54A75">
              <w:rPr>
                <w:rFonts w:ascii="Calibri" w:eastAsia="Times New Roman" w:hAnsi="Calibri" w:cs="Calibri"/>
                <w:noProof/>
                <w:color w:val="000000"/>
                <w:sz w:val="20"/>
                <w:szCs w:val="20"/>
                <w:vertAlign w:val="superscript"/>
                <w:lang w:eastAsia="en-AU"/>
              </w:rPr>
              <w:t>(38)</w:t>
            </w:r>
            <w:r w:rsidR="00CA60C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MeDI</w:t>
            </w:r>
            <w:proofErr w:type="spellEnd"/>
            <w:r w:rsidRPr="00B54A75">
              <w:rPr>
                <w:rFonts w:ascii="Calibri" w:eastAsia="Times New Roman" w:hAnsi="Calibri" w:cs="Calibri"/>
                <w:color w:val="000000"/>
                <w:sz w:val="20"/>
                <w:szCs w:val="20"/>
                <w:lang w:eastAsia="en-AU"/>
              </w:rPr>
              <w:t xml:space="preserve"> (FFQ)</w:t>
            </w:r>
          </w:p>
        </w:tc>
        <w:tc>
          <w:tcPr>
            <w:tcW w:w="1082" w:type="dxa"/>
            <w:tcBorders>
              <w:top w:val="nil"/>
              <w:left w:val="nil"/>
              <w:bottom w:val="nil"/>
              <w:right w:val="nil"/>
            </w:tcBorders>
            <w:shd w:val="clear" w:color="auto" w:fill="auto"/>
            <w:vAlign w:val="bottom"/>
            <w:hideMark/>
          </w:tcPr>
          <w:p w:rsidR="00112011" w:rsidRPr="00B54A75" w:rsidRDefault="002C1387" w:rsidP="0011201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CN</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672</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70.0 - 89.0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79.80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5.0</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MeDI</w:t>
            </w:r>
            <w:proofErr w:type="spellEnd"/>
            <w:r w:rsidRPr="00B54A75">
              <w:rPr>
                <w:rFonts w:ascii="Calibri" w:eastAsia="Times New Roman" w:hAnsi="Calibri" w:cs="Calibri"/>
                <w:color w:val="000000"/>
                <w:sz w:val="20"/>
                <w:szCs w:val="20"/>
                <w:u w:val="single"/>
                <w:lang w:eastAsia="en-AU"/>
              </w:rPr>
              <w:t xml:space="preserve"> score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CT within FL, PL, TL, &amp; OL</w:t>
            </w:r>
            <w:r w:rsidRPr="00B54A75">
              <w:rPr>
                <w:rFonts w:ascii="Calibri" w:eastAsia="Times New Roman" w:hAnsi="Calibri" w:cs="Calibri"/>
                <w:iCs/>
                <w:color w:val="000000"/>
                <w:sz w:val="20"/>
                <w:szCs w:val="20"/>
                <w:lang w:eastAsia="en-AU"/>
              </w:rPr>
              <w:br/>
            </w:r>
            <w:r w:rsidRPr="00B54A75">
              <w:rPr>
                <w:rFonts w:ascii="Calibri" w:eastAsia="Times New Roman" w:hAnsi="Calibri" w:cs="Calibri"/>
                <w:color w:val="000000"/>
                <w:sz w:val="20"/>
                <w:szCs w:val="20"/>
                <w:u w:val="single"/>
                <w:lang w:eastAsia="en-AU"/>
              </w:rPr>
              <w:t>↑ Fish, legume, vegetable, &amp; whole grain/cereal intake</w:t>
            </w:r>
            <w:r w:rsidRPr="00B54A75">
              <w:rPr>
                <w:rFonts w:ascii="Calibri" w:eastAsia="Times New Roman" w:hAnsi="Calibri" w:cs="Calibri"/>
                <w:color w:val="000000"/>
                <w:sz w:val="20"/>
                <w:szCs w:val="20"/>
                <w:lang w:eastAsia="en-AU"/>
              </w:rPr>
              <w:t xml:space="preserve"> was associated with: </w:t>
            </w:r>
            <w:r w:rsidRPr="00B54A75">
              <w:rPr>
                <w:rFonts w:ascii="Calibri" w:eastAsia="Times New Roman" w:hAnsi="Calibri" w:cs="Calibri"/>
                <w:color w:val="000000"/>
                <w:sz w:val="20"/>
                <w:szCs w:val="20"/>
                <w:lang w:eastAsia="en-AU"/>
              </w:rPr>
              <w:br/>
              <w:t xml:space="preserve">           ↑ CT within FL, PL, TL &amp; OL</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Fruit intake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CT within PL</w:t>
            </w:r>
            <w:r w:rsidRPr="00B54A75">
              <w:rPr>
                <w:rFonts w:ascii="Calibri" w:eastAsia="Times New Roman" w:hAnsi="Calibri" w:cs="Calibri"/>
                <w:iCs/>
                <w:color w:val="000000"/>
                <w:sz w:val="20"/>
                <w:szCs w:val="20"/>
                <w:lang w:eastAsia="en-AU"/>
              </w:rPr>
              <w:br/>
            </w:r>
            <w:r w:rsidRPr="00B54A75">
              <w:rPr>
                <w:rFonts w:ascii="Calibri" w:eastAsia="Times New Roman" w:hAnsi="Calibri" w:cs="Calibri"/>
                <w:color w:val="000000"/>
                <w:sz w:val="20"/>
                <w:szCs w:val="20"/>
                <w:u w:val="single"/>
                <w:lang w:eastAsia="en-AU"/>
              </w:rPr>
              <w:t>↑ Red meat intake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CT of ERC</w:t>
            </w:r>
          </w:p>
        </w:tc>
      </w:tr>
      <w:tr w:rsidR="008251F9" w:rsidRPr="00B54A75" w:rsidTr="00222F25">
        <w:trPr>
          <w:trHeight w:val="2940"/>
        </w:trPr>
        <w:tc>
          <w:tcPr>
            <w:tcW w:w="1840" w:type="dxa"/>
            <w:tcBorders>
              <w:top w:val="nil"/>
              <w:left w:val="nil"/>
              <w:bottom w:val="nil"/>
              <w:right w:val="nil"/>
            </w:tcBorders>
            <w:shd w:val="clear" w:color="000000" w:fill="D9D9D9"/>
            <w:vAlign w:val="bottom"/>
            <w:hideMark/>
          </w:tcPr>
          <w:p w:rsidR="00112011" w:rsidRPr="00B54A75" w:rsidRDefault="00B54A75" w:rsidP="001E46D5">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Gu et al.</w:t>
            </w:r>
            <w:r w:rsidR="00CA60C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"ISBN" : "0000000000", "author" : [ { "dropping-particle" : "", "family" : "Gu", "given" : "Yian", "non-dropping-particle" : "", "parse-names" : false, "suffix" : "" }, { "dropping-particle" : "", "family" : "Brickman", "given" : "Adam M", "non-dropping-particle" : "", "parse-names" : false, "suffix" : "" }, { "dropping-particle" : "", "family" : "Stern", "given" : "Yaakov", "non-dropping-particle" : "", "parse-names" : false, "suffix" : "" }, { "dropping-particle" : "", "family" : "Habeck", "given" : "Christian G", "non-dropping-particle" : "", "parse-names" : false, "suffix" : "" }, { "dropping-particle" : "", "family" : "Manly", "given" : "Jennifer J", "non-dropping-particle" : "", "parse-names" : false, "suffix" : "" }, { "dropping-particle" : "", "family" : "Schupf", "given" : "Nicole", "non-dropping-particle" : "", "parse-names" : false, "suffix" : "" }, { "dropping-particle" : "", "family" : "Mayeux", "given" : "Richard", "non-dropping-particle" : "", "parse-names" : false, "suffix" : "" } ], "container-title" : "Neurology", "id" : "ITEM-1", "issued" : { "date-parts" : [ [ "2015" ] ] }, "page" : "1-8", "title" : "Mediterranean diet and brain structure in a multiethnic elderly cohort", "type" : "article-journal", "volume" : "85" }, "uris" : [ "http://www.mendeley.com/documents/?uuid=365d134c-ac30-43bc-899e-12bdcbf94f40" ] } ], "mendeley" : { "formattedCitation" : "&lt;sup&gt;(39)&lt;/sup&gt;", "plainTextFormattedCitation" : "(39)", "previouslyFormattedCitation" : "&lt;sup&gt;(39)&lt;/sup&gt;" }, "properties" : { "noteIndex" : 0 }, "schema" : "https://github.com/citation-style-language/schema/raw/master/csl-citation.json" }</w:instrText>
            </w:r>
            <w:r w:rsidR="00CA60C8" w:rsidRPr="00B54A75">
              <w:rPr>
                <w:rFonts w:ascii="Calibri" w:eastAsia="Times New Roman" w:hAnsi="Calibri" w:cs="Calibri"/>
                <w:color w:val="000000"/>
                <w:sz w:val="20"/>
                <w:szCs w:val="20"/>
                <w:lang w:eastAsia="en-AU"/>
              </w:rPr>
              <w:fldChar w:fldCharType="separate"/>
            </w:r>
            <w:r w:rsidRPr="00B54A75">
              <w:rPr>
                <w:rFonts w:ascii="Calibri" w:eastAsia="Times New Roman" w:hAnsi="Calibri" w:cs="Calibri"/>
                <w:noProof/>
                <w:color w:val="000000"/>
                <w:sz w:val="20"/>
                <w:szCs w:val="20"/>
                <w:vertAlign w:val="superscript"/>
                <w:lang w:eastAsia="en-AU"/>
              </w:rPr>
              <w:t>(39)</w:t>
            </w:r>
            <w:r w:rsidR="00CA60C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MeDI</w:t>
            </w:r>
            <w:proofErr w:type="spellEnd"/>
            <w:r w:rsidRPr="00B54A75">
              <w:rPr>
                <w:rFonts w:ascii="Calibri" w:eastAsia="Times New Roman" w:hAnsi="Calibri" w:cs="Calibri"/>
                <w:color w:val="000000"/>
                <w:sz w:val="20"/>
                <w:szCs w:val="20"/>
                <w:lang w:eastAsia="en-AU"/>
              </w:rPr>
              <w:t xml:space="preserve"> (FFQ)</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674</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80.10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5.60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(MRI)</w:t>
            </w:r>
            <w:r w:rsidRPr="00B54A75">
              <w:rPr>
                <w:rFonts w:ascii="Calibri" w:eastAsia="Times New Roman" w:hAnsi="Calibri" w:cs="Calibri"/>
                <w:color w:val="000000"/>
                <w:sz w:val="20"/>
                <w:szCs w:val="20"/>
                <w:lang w:eastAsia="en-AU"/>
              </w:rPr>
              <w:br/>
            </w:r>
            <w:proofErr w:type="spellStart"/>
            <w:r w:rsidRPr="00B54A75">
              <w:rPr>
                <w:rFonts w:ascii="Calibri" w:eastAsia="Times New Roman" w:hAnsi="Calibri" w:cs="Calibri"/>
                <w:color w:val="000000"/>
                <w:sz w:val="20"/>
                <w:szCs w:val="20"/>
                <w:u w:val="single"/>
                <w:lang w:eastAsia="en-AU"/>
              </w:rPr>
              <w:t>MeDI</w:t>
            </w:r>
            <w:proofErr w:type="spellEnd"/>
            <w:r w:rsidRPr="00B54A75">
              <w:rPr>
                <w:rFonts w:ascii="Calibri" w:eastAsia="Times New Roman" w:hAnsi="Calibri" w:cs="Calibri"/>
                <w:color w:val="000000"/>
                <w:sz w:val="20"/>
                <w:szCs w:val="20"/>
                <w:u w:val="single"/>
                <w:lang w:eastAsia="en-AU"/>
              </w:rPr>
              <w:t xml:space="preserve"> score (≥5)</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br/>
              <w:t xml:space="preserve">          ↑ TC-</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br/>
              <w:t xml:space="preserve">          ↑ TC-</w:t>
            </w:r>
            <w:proofErr w:type="spellStart"/>
            <w:r w:rsidRPr="00B54A75">
              <w:rPr>
                <w:rFonts w:ascii="Calibri" w:eastAsia="Times New Roman" w:hAnsi="Calibri" w:cs="Calibri"/>
                <w:color w:val="000000"/>
                <w:sz w:val="20"/>
                <w:szCs w:val="20"/>
                <w:lang w:eastAsia="en-AU"/>
              </w:rPr>
              <w:t>WMv</w:t>
            </w:r>
            <w:proofErr w:type="spellEnd"/>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Fish intake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TC-</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br/>
              <w:t xml:space="preserve">          ↑ Mean CT</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Meat intake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br/>
              <w:t xml:space="preserve">          ↑ TC-</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w:t>
            </w:r>
          </w:p>
        </w:tc>
      </w:tr>
      <w:tr w:rsidR="009321E8" w:rsidRPr="00B54A75" w:rsidTr="00101592">
        <w:trPr>
          <w:trHeight w:val="3191"/>
        </w:trPr>
        <w:tc>
          <w:tcPr>
            <w:tcW w:w="1840" w:type="dxa"/>
            <w:tcBorders>
              <w:top w:val="nil"/>
              <w:left w:val="nil"/>
              <w:bottom w:val="nil"/>
              <w:right w:val="nil"/>
            </w:tcBorders>
            <w:shd w:val="clear" w:color="auto" w:fill="auto"/>
            <w:vAlign w:val="bottom"/>
            <w:hideMark/>
          </w:tcPr>
          <w:p w:rsidR="00112011" w:rsidRPr="00B54A75" w:rsidRDefault="00B54A75" w:rsidP="001E46D5">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Pelletier et al.</w:t>
            </w:r>
            <w:r w:rsidR="00CA60C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"10.1016/j.jalz.2015.06.1888", "author" : [ { "dropping-particle" : "", "family" : "Pelletier", "given" : "Amandine", "non-dropping-particle" : "", "parse-names" : false, "suffix" : "" }, { "dropping-particle" : "", "family" : "Barul", "given" : "Christine", "non-dropping-particle" : "", "parse-names" : false, "suffix" : "" }, { "dropping-particle" : "", "family" : "Catherine", "given" : "F", "non-dropping-particle" : "", "parse-names" : false, "suffix" : "" } ], "container-title" : "Alzheimer's &amp; Dementia", "id" : "ITEM-1", "issued" : { "date-parts" : [ [ "2015" ] ] }, "page" : "1023-1031", "title" : "Mediterranean diet and preserved brain structural connectivity in older subjects", "type" : "article-journal", "volume" : "11" }, "uris" : [ "http://www.mendeley.com/documents/?uuid=20c4cee4-007a-4484-8d6f-b62c9fe56a15" ] } ], "mendeley" : { "formattedCitation" : "&lt;sup&gt;(40)&lt;/sup&gt;", "plainTextFormattedCitation" : "(40)", "previouslyFormattedCitation" : "&lt;sup&gt;(40)&lt;/sup&gt;" }, "properties" : { "noteIndex" : 0 }, "schema" : "https://github.com/citation-style-language/schema/raw/master/csl-citation.json" }</w:instrText>
            </w:r>
            <w:r w:rsidR="00CA60C8" w:rsidRPr="00B54A75">
              <w:rPr>
                <w:rFonts w:ascii="Calibri" w:eastAsia="Times New Roman" w:hAnsi="Calibri" w:cs="Calibri"/>
                <w:color w:val="000000"/>
                <w:sz w:val="20"/>
                <w:szCs w:val="20"/>
                <w:lang w:eastAsia="en-AU"/>
              </w:rPr>
              <w:fldChar w:fldCharType="separate"/>
            </w:r>
            <w:r w:rsidRPr="00B54A75">
              <w:rPr>
                <w:rFonts w:ascii="Calibri" w:eastAsia="Times New Roman" w:hAnsi="Calibri" w:cs="Calibri"/>
                <w:noProof/>
                <w:color w:val="000000"/>
                <w:sz w:val="20"/>
                <w:szCs w:val="20"/>
                <w:vertAlign w:val="superscript"/>
                <w:lang w:eastAsia="en-AU"/>
              </w:rPr>
              <w:t>(40)</w:t>
            </w:r>
            <w:r w:rsidR="00CA60C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MeDI</w:t>
            </w:r>
            <w:proofErr w:type="spellEnd"/>
            <w:r w:rsidRPr="00B54A75">
              <w:rPr>
                <w:rFonts w:ascii="Calibri" w:eastAsia="Times New Roman" w:hAnsi="Calibri" w:cs="Calibri"/>
                <w:color w:val="000000"/>
                <w:sz w:val="20"/>
                <w:szCs w:val="20"/>
                <w:lang w:eastAsia="en-AU"/>
              </w:rPr>
              <w:t xml:space="preserve"> (FFQ &amp; 24-diet recall)</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Mixed</w:t>
            </w:r>
            <w:r w:rsidR="00303DDA" w:rsidRPr="00B54A75">
              <w:rPr>
                <w:rFonts w:cstheme="minorHAnsi"/>
                <w:b/>
              </w:rPr>
              <w:t>††</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146</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73.0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 &amp; DTI)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MeDI</w:t>
            </w:r>
            <w:proofErr w:type="spellEnd"/>
            <w:r w:rsidRPr="00B54A75">
              <w:rPr>
                <w:rFonts w:ascii="Calibri" w:eastAsia="Times New Roman" w:hAnsi="Calibri" w:cs="Calibri"/>
                <w:color w:val="000000"/>
                <w:sz w:val="20"/>
                <w:szCs w:val="20"/>
                <w:u w:val="single"/>
                <w:lang w:eastAsia="en-AU"/>
              </w:rPr>
              <w:t xml:space="preserve"> score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Microstructural integrity within CC, </w:t>
            </w:r>
            <w:proofErr w:type="spellStart"/>
            <w:r w:rsidRPr="00B54A75">
              <w:rPr>
                <w:rFonts w:ascii="Calibri" w:eastAsia="Times New Roman" w:hAnsi="Calibri" w:cs="Calibri"/>
                <w:color w:val="000000"/>
                <w:sz w:val="20"/>
                <w:szCs w:val="20"/>
                <w:lang w:eastAsia="en-AU"/>
              </w:rPr>
              <w:t>aThR</w:t>
            </w:r>
            <w:proofErr w:type="spellEnd"/>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pThR</w:t>
            </w:r>
            <w:proofErr w:type="spellEnd"/>
            <w:r w:rsidRPr="00B54A75">
              <w:rPr>
                <w:rFonts w:ascii="Calibri" w:eastAsia="Times New Roman" w:hAnsi="Calibri" w:cs="Calibri"/>
                <w:color w:val="000000"/>
                <w:sz w:val="20"/>
                <w:szCs w:val="20"/>
                <w:lang w:eastAsia="en-AU"/>
              </w:rPr>
              <w:t>,</w:t>
            </w:r>
            <w:r w:rsidRPr="00B54A75">
              <w:rPr>
                <w:rFonts w:ascii="Calibri" w:eastAsia="Times New Roman" w:hAnsi="Calibri" w:cs="Calibri"/>
                <w:color w:val="000000"/>
                <w:sz w:val="20"/>
                <w:szCs w:val="20"/>
                <w:lang w:eastAsia="en-AU"/>
              </w:rPr>
              <w:br/>
              <w:t xml:space="preserve">               </w:t>
            </w:r>
            <w:proofErr w:type="spellStart"/>
            <w:r w:rsidR="009F3693">
              <w:rPr>
                <w:rFonts w:ascii="Calibri" w:eastAsia="Times New Roman" w:hAnsi="Calibri" w:cs="Calibri"/>
                <w:color w:val="000000"/>
                <w:sz w:val="20"/>
                <w:szCs w:val="20"/>
                <w:lang w:eastAsia="en-AU"/>
              </w:rPr>
              <w:t>pCingG</w:t>
            </w:r>
            <w:proofErr w:type="spellEnd"/>
            <w:r w:rsidR="009F3693">
              <w:rPr>
                <w:rFonts w:ascii="Calibri" w:eastAsia="Times New Roman" w:hAnsi="Calibri" w:cs="Calibri"/>
                <w:color w:val="000000"/>
                <w:sz w:val="20"/>
                <w:szCs w:val="20"/>
                <w:lang w:eastAsia="en-AU"/>
              </w:rPr>
              <w:t xml:space="preserve">, &amp; </w:t>
            </w:r>
            <w:proofErr w:type="spellStart"/>
            <w:r w:rsidR="009F3693">
              <w:rPr>
                <w:rFonts w:ascii="Calibri" w:eastAsia="Times New Roman" w:hAnsi="Calibri" w:cs="Calibri"/>
                <w:color w:val="000000"/>
                <w:sz w:val="20"/>
                <w:szCs w:val="20"/>
                <w:lang w:eastAsia="en-AU"/>
              </w:rPr>
              <w:t>Para</w:t>
            </w:r>
            <w:r w:rsidRPr="00B54A75">
              <w:rPr>
                <w:rFonts w:ascii="Calibri" w:eastAsia="Times New Roman" w:hAnsi="Calibri" w:cs="Calibri"/>
                <w:color w:val="000000"/>
                <w:sz w:val="20"/>
                <w:szCs w:val="20"/>
                <w:lang w:eastAsia="en-AU"/>
              </w:rPr>
              <w:t>HC</w:t>
            </w:r>
            <w:proofErr w:type="spellEnd"/>
            <w:r w:rsidRPr="00B54A75">
              <w:rPr>
                <w:rFonts w:ascii="Calibri" w:eastAsia="Times New Roman" w:hAnsi="Calibri" w:cs="Calibri"/>
                <w:color w:val="000000"/>
                <w:sz w:val="20"/>
                <w:szCs w:val="20"/>
                <w:lang w:eastAsia="en-AU"/>
              </w:rPr>
              <w:t>-F</w:t>
            </w:r>
            <w:r w:rsidRPr="00B54A75">
              <w:rPr>
                <w:rFonts w:ascii="Calibri" w:eastAsia="Times New Roman" w:hAnsi="Calibri" w:cs="Calibri"/>
                <w:color w:val="000000"/>
                <w:sz w:val="20"/>
                <w:szCs w:val="20"/>
                <w:lang w:eastAsia="en-AU"/>
              </w:rPr>
              <w:br/>
              <w:t xml:space="preserve">No association between </w:t>
            </w:r>
            <w:proofErr w:type="spellStart"/>
            <w:r w:rsidRPr="00B54A75">
              <w:rPr>
                <w:rFonts w:ascii="Calibri" w:eastAsia="Times New Roman" w:hAnsi="Calibri" w:cs="Calibri"/>
                <w:color w:val="000000"/>
                <w:sz w:val="20"/>
                <w:szCs w:val="20"/>
                <w:lang w:eastAsia="en-AU"/>
              </w:rPr>
              <w:t>MeDI</w:t>
            </w:r>
            <w:proofErr w:type="spellEnd"/>
            <w:r w:rsidRPr="00B54A75">
              <w:rPr>
                <w:rFonts w:ascii="Calibri" w:eastAsia="Times New Roman" w:hAnsi="Calibri" w:cs="Calibri"/>
                <w:color w:val="000000"/>
                <w:sz w:val="20"/>
                <w:szCs w:val="20"/>
                <w:lang w:eastAsia="en-AU"/>
              </w:rPr>
              <w:t xml:space="preserve"> score &amp; either TC-</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or TC-</w:t>
            </w:r>
            <w:proofErr w:type="spellStart"/>
            <w:r w:rsidRPr="00B54A75">
              <w:rPr>
                <w:rFonts w:ascii="Calibri" w:eastAsia="Times New Roman" w:hAnsi="Calibri" w:cs="Calibri"/>
                <w:color w:val="000000"/>
                <w:sz w:val="20"/>
                <w:szCs w:val="20"/>
                <w:lang w:eastAsia="en-AU"/>
              </w:rPr>
              <w:t>WMv</w:t>
            </w:r>
            <w:proofErr w:type="spellEnd"/>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Dairy intake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Microstructural integrity within CC</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Moderate alcohol intake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Microstructural integrity within CC</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lang w:eastAsia="en-AU"/>
              </w:rPr>
              <w:br/>
              <w:t xml:space="preserve">Association between </w:t>
            </w:r>
            <w:proofErr w:type="spellStart"/>
            <w:r w:rsidRPr="00B54A75">
              <w:rPr>
                <w:rFonts w:ascii="Calibri" w:eastAsia="Times New Roman" w:hAnsi="Calibri" w:cs="Calibri"/>
                <w:color w:val="000000"/>
                <w:sz w:val="20"/>
                <w:szCs w:val="20"/>
                <w:lang w:eastAsia="en-AU"/>
              </w:rPr>
              <w:t>MeDI</w:t>
            </w:r>
            <w:proofErr w:type="spellEnd"/>
            <w:r w:rsidRPr="00B54A75">
              <w:rPr>
                <w:rFonts w:ascii="Calibri" w:eastAsia="Times New Roman" w:hAnsi="Calibri" w:cs="Calibri"/>
                <w:color w:val="000000"/>
                <w:sz w:val="20"/>
                <w:szCs w:val="20"/>
                <w:lang w:eastAsia="en-AU"/>
              </w:rPr>
              <w:t xml:space="preserve"> score &amp; WM microstructural integrity remained significant following exclusion of dementia cases</w:t>
            </w:r>
          </w:p>
        </w:tc>
      </w:tr>
      <w:tr w:rsidR="008251F9" w:rsidRPr="00B54A75" w:rsidTr="00101592">
        <w:trPr>
          <w:trHeight w:val="1065"/>
        </w:trPr>
        <w:tc>
          <w:tcPr>
            <w:tcW w:w="1840" w:type="dxa"/>
            <w:tcBorders>
              <w:top w:val="nil"/>
              <w:left w:val="nil"/>
              <w:bottom w:val="nil"/>
              <w:right w:val="nil"/>
            </w:tcBorders>
            <w:shd w:val="clear" w:color="000000" w:fill="D9D9D9"/>
            <w:vAlign w:val="bottom"/>
            <w:hideMark/>
          </w:tcPr>
          <w:p w:rsidR="00112011" w:rsidRPr="00B54A75" w:rsidRDefault="00B54A75" w:rsidP="001E46D5">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lastRenderedPageBreak/>
              <w:t>Mosconi et al.</w:t>
            </w:r>
            <w:r w:rsidR="00CA60C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"Mosconi", "given" : "L.", "non-dropping-particle" : "", "parse-names" : false, "suffix" : "" }, { "dropping-particle" : "", "family" : "Murray", "given" : "J.", "non-dropping-particle" : "", "parse-names" : false, "suffix" : "" }, { "dropping-particle" : "", "family" : "Tsui", "given" : "W.H.", "non-dropping-particle" : "", "parse-names" : false, "suffix" : "" }, { "dropping-particle" : "", "family" : "Li", "given" : "Y.", "non-dropping-particle" : "", "parse-names" : false, "suffix" : "" }, { "dropping-particle" : "", "family" : "Davies", "given" : "M.", "non-dropping-particle" : "", "parse-names" : false, "suffix" : "" }, { "dropping-particle" : "", "family" : "Williams", "given" : "S.", "non-dropping-particle" : "", "parse-names" : false, "suffix" : "" }, { "dropping-particle" : "", "family" : "Pirraglia", "given" : "E.", "non-dropping-particle" : "", "parse-names" : false, "suffix" : "" }, { "dropping-particle" : "", "family" : "Spector", "given" : "N.", "non-dropping-particle" : "", "parse-names" : false, "suffix" : "" }, { "dropping-particle" : "", "family" : "Osorio", "given" : "R.S.", "non-dropping-particle" : "", "parse-names" : false, "suffix" : "" }, { "dropping-particle" : "", "family" : "Glodzik", "given" : "L.", "non-dropping-particle" : "", "parse-names" : false, "suffix" : "" }, { "dropping-particle" : "", "family" : "McHugh", "given" : "P.", "non-dropping-particle" : "", "parse-names" : false, "suffix" : "" }, { "dropping-particle" : "", "family" : "Leon", "given" : "M.J.", "non-dropping-particle" : "de", "parse-names" : false, "suffix" : "" } ], "container-title" : "The Journal of Prevention of Alzheimer's Disease", "id" : "ITEM-1", "issued" : { "date-parts" : [ [ "2014" ] ] }, "page" : "23-32", "title" : "Mediterranean Diet and Magnetic Resonance Imaging-Assessed Brain Atrophy in Cognitively Normal Individuals at Risk for Alzheimer's Disease", "type" : "article-journal", "volume" : "1" }, "uris" : [ "http://www.mendeley.com/documents/?uuid=0ae74fd4-ce4a-4489-bf45-62c8ace12bdf" ] } ], "mendeley" : { "formattedCitation" : "&lt;sup&gt;(41)&lt;/sup&gt;", "plainTextFormattedCitation" : "(41)", "previouslyFormattedCitation" : "&lt;sup&gt;(41)&lt;/sup&gt;" }, "properties" : { "noteIndex" : 0 }, "schema" : "https://github.com/citation-style-language/schema/raw/master/csl-citation.json" }</w:instrText>
            </w:r>
            <w:r w:rsidR="00CA60C8" w:rsidRPr="00B54A75">
              <w:rPr>
                <w:rFonts w:ascii="Calibri" w:eastAsia="Times New Roman" w:hAnsi="Calibri" w:cs="Calibri"/>
                <w:color w:val="000000"/>
                <w:sz w:val="20"/>
                <w:szCs w:val="20"/>
                <w:lang w:eastAsia="en-AU"/>
              </w:rPr>
              <w:fldChar w:fldCharType="separate"/>
            </w:r>
            <w:r w:rsidRPr="00B54A75">
              <w:rPr>
                <w:rFonts w:ascii="Calibri" w:eastAsia="Times New Roman" w:hAnsi="Calibri" w:cs="Calibri"/>
                <w:noProof/>
                <w:color w:val="000000"/>
                <w:sz w:val="20"/>
                <w:szCs w:val="20"/>
                <w:vertAlign w:val="superscript"/>
                <w:lang w:eastAsia="en-AU"/>
              </w:rPr>
              <w:t>(41)</w:t>
            </w:r>
            <w:r w:rsidR="00CA60C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MeDI</w:t>
            </w:r>
            <w:proofErr w:type="spellEnd"/>
            <w:r w:rsidRPr="00B54A75">
              <w:rPr>
                <w:rFonts w:ascii="Calibri" w:eastAsia="Times New Roman" w:hAnsi="Calibri" w:cs="Calibri"/>
                <w:color w:val="000000"/>
                <w:sz w:val="20"/>
                <w:szCs w:val="20"/>
                <w:lang w:eastAsia="en-AU"/>
              </w:rPr>
              <w:t xml:space="preserve"> (FFQ)</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CN</w:t>
            </w:r>
          </w:p>
        </w:tc>
        <w:tc>
          <w:tcPr>
            <w:tcW w:w="1274" w:type="dxa"/>
            <w:tcBorders>
              <w:top w:val="nil"/>
              <w:left w:val="nil"/>
              <w:bottom w:val="nil"/>
              <w:right w:val="nil"/>
            </w:tcBorders>
            <w:shd w:val="clear" w:color="000000" w:fill="D9D9D9"/>
            <w:vAlign w:val="bottom"/>
            <w:hideMark/>
          </w:tcPr>
          <w:p w:rsidR="00112011" w:rsidRPr="00B54A75" w:rsidRDefault="00222F25"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20 (</w:t>
            </w:r>
            <w:proofErr w:type="spellStart"/>
            <w:r w:rsidRPr="00B54A75">
              <w:rPr>
                <w:rFonts w:ascii="Calibri" w:eastAsia="Times New Roman" w:hAnsi="Calibri" w:cs="Calibri"/>
                <w:color w:val="000000"/>
                <w:sz w:val="20"/>
                <w:szCs w:val="20"/>
                <w:lang w:eastAsia="en-AU"/>
              </w:rPr>
              <w:t>HMeDI</w:t>
            </w:r>
            <w:proofErr w:type="spellEnd"/>
            <w:r w:rsidRPr="00B54A75">
              <w:rPr>
                <w:rFonts w:ascii="Calibri" w:eastAsia="Times New Roman" w:hAnsi="Calibri" w:cs="Calibri"/>
                <w:color w:val="000000"/>
                <w:sz w:val="20"/>
                <w:szCs w:val="20"/>
                <w:lang w:eastAsia="en-AU"/>
              </w:rPr>
              <w:t>) 32 (</w:t>
            </w:r>
            <w:proofErr w:type="spellStart"/>
            <w:r w:rsidRPr="00B54A75">
              <w:rPr>
                <w:rFonts w:ascii="Calibri" w:eastAsia="Times New Roman" w:hAnsi="Calibri" w:cs="Calibri"/>
                <w:color w:val="000000"/>
                <w:sz w:val="20"/>
                <w:szCs w:val="20"/>
                <w:lang w:eastAsia="en-AU"/>
              </w:rPr>
              <w:t>L</w:t>
            </w:r>
            <w:r w:rsidR="00112011" w:rsidRPr="00B54A75">
              <w:rPr>
                <w:rFonts w:ascii="Calibri" w:eastAsia="Times New Roman" w:hAnsi="Calibri" w:cs="Calibri"/>
                <w:color w:val="000000"/>
                <w:sz w:val="20"/>
                <w:szCs w:val="20"/>
                <w:lang w:eastAsia="en-AU"/>
              </w:rPr>
              <w:t>MeDI</w:t>
            </w:r>
            <w:proofErr w:type="spellEnd"/>
            <w:r w:rsidR="00112011" w:rsidRPr="00B54A75">
              <w:rPr>
                <w:rFonts w:ascii="Calibri" w:eastAsia="Times New Roman" w:hAnsi="Calibri" w:cs="Calibri"/>
                <w:color w:val="000000"/>
                <w:sz w:val="20"/>
                <w:szCs w:val="20"/>
                <w:lang w:eastAsia="en-AU"/>
              </w:rPr>
              <w:t>)</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25.0 - 72.0</w:t>
            </w:r>
          </w:p>
        </w:tc>
        <w:tc>
          <w:tcPr>
            <w:tcW w:w="1418" w:type="dxa"/>
            <w:tcBorders>
              <w:top w:val="nil"/>
              <w:left w:val="nil"/>
              <w:bottom w:val="nil"/>
              <w:right w:val="nil"/>
            </w:tcBorders>
            <w:shd w:val="clear" w:color="000000" w:fill="D9D9D9"/>
            <w:vAlign w:val="bottom"/>
            <w:hideMark/>
          </w:tcPr>
          <w:p w:rsidR="00112011" w:rsidRPr="00B54A75" w:rsidRDefault="00222F25"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55.0 (</w:t>
            </w:r>
            <w:proofErr w:type="spellStart"/>
            <w:r w:rsidRPr="00B54A75">
              <w:rPr>
                <w:rFonts w:ascii="Calibri" w:eastAsia="Times New Roman" w:hAnsi="Calibri" w:cs="Calibri"/>
                <w:color w:val="000000"/>
                <w:sz w:val="20"/>
                <w:szCs w:val="20"/>
                <w:lang w:eastAsia="en-AU"/>
              </w:rPr>
              <w:t>HMeDI</w:t>
            </w:r>
            <w:proofErr w:type="spellEnd"/>
            <w:r w:rsidRPr="00B54A75">
              <w:rPr>
                <w:rFonts w:ascii="Calibri" w:eastAsia="Times New Roman" w:hAnsi="Calibri" w:cs="Calibri"/>
                <w:color w:val="000000"/>
                <w:sz w:val="20"/>
                <w:szCs w:val="20"/>
                <w:lang w:eastAsia="en-AU"/>
              </w:rPr>
              <w:t>) 53.0 (</w:t>
            </w:r>
            <w:proofErr w:type="spellStart"/>
            <w:r w:rsidRPr="00B54A75">
              <w:rPr>
                <w:rFonts w:ascii="Calibri" w:eastAsia="Times New Roman" w:hAnsi="Calibri" w:cs="Calibri"/>
                <w:color w:val="000000"/>
                <w:sz w:val="20"/>
                <w:szCs w:val="20"/>
                <w:lang w:eastAsia="en-AU"/>
              </w:rPr>
              <w:t>L</w:t>
            </w:r>
            <w:r w:rsidR="00112011" w:rsidRPr="00B54A75">
              <w:rPr>
                <w:rFonts w:ascii="Calibri" w:eastAsia="Times New Roman" w:hAnsi="Calibri" w:cs="Calibri"/>
                <w:color w:val="000000"/>
                <w:sz w:val="20"/>
                <w:szCs w:val="20"/>
                <w:lang w:eastAsia="en-AU"/>
              </w:rPr>
              <w:t>MeDI</w:t>
            </w:r>
            <w:proofErr w:type="spellEnd"/>
            <w:r w:rsidR="00112011" w:rsidRPr="00B54A75">
              <w:rPr>
                <w:rFonts w:ascii="Calibri" w:eastAsia="Times New Roman" w:hAnsi="Calibri" w:cs="Calibri"/>
                <w:color w:val="000000"/>
                <w:sz w:val="20"/>
                <w:szCs w:val="20"/>
                <w:lang w:eastAsia="en-AU"/>
              </w:rPr>
              <w:t>)</w:t>
            </w:r>
          </w:p>
        </w:tc>
        <w:tc>
          <w:tcPr>
            <w:tcW w:w="1417" w:type="dxa"/>
            <w:tcBorders>
              <w:top w:val="nil"/>
              <w:left w:val="nil"/>
              <w:bottom w:val="nil"/>
              <w:right w:val="nil"/>
            </w:tcBorders>
            <w:shd w:val="clear" w:color="000000" w:fill="D9D9D9"/>
            <w:vAlign w:val="bottom"/>
            <w:hideMark/>
          </w:tcPr>
          <w:p w:rsidR="00112011" w:rsidRPr="00B54A75" w:rsidRDefault="00222F25"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12.0 (</w:t>
            </w:r>
            <w:proofErr w:type="spellStart"/>
            <w:r w:rsidRPr="00B54A75">
              <w:rPr>
                <w:rFonts w:ascii="Calibri" w:eastAsia="Times New Roman" w:hAnsi="Calibri" w:cs="Calibri"/>
                <w:color w:val="000000"/>
                <w:sz w:val="20"/>
                <w:szCs w:val="20"/>
                <w:lang w:eastAsia="en-AU"/>
              </w:rPr>
              <w:t>H</w:t>
            </w:r>
            <w:r w:rsidR="00112011" w:rsidRPr="00B54A75">
              <w:rPr>
                <w:rFonts w:ascii="Calibri" w:eastAsia="Times New Roman" w:hAnsi="Calibri" w:cs="Calibri"/>
                <w:color w:val="000000"/>
                <w:sz w:val="20"/>
                <w:szCs w:val="20"/>
                <w:lang w:eastAsia="en-AU"/>
              </w:rPr>
              <w:t>MeDI</w:t>
            </w:r>
            <w:proofErr w:type="spellEnd"/>
            <w:r w:rsidR="00112011" w:rsidRPr="00B54A75">
              <w:rPr>
                <w:rFonts w:ascii="Calibri" w:eastAsia="Times New Roman" w:hAnsi="Calibri" w:cs="Calibri"/>
                <w:color w:val="000000"/>
                <w:sz w:val="20"/>
                <w:szCs w:val="20"/>
                <w:lang w:eastAsia="en-AU"/>
              </w:rPr>
              <w:t>)</w:t>
            </w:r>
            <w:r w:rsidR="00112011" w:rsidRPr="00B54A75">
              <w:rPr>
                <w:rFonts w:ascii="Calibri" w:eastAsia="Times New Roman" w:hAnsi="Calibri" w:cs="Calibri"/>
                <w:color w:val="000000"/>
                <w:sz w:val="20"/>
                <w:szCs w:val="20"/>
                <w:lang w:eastAsia="en-AU"/>
              </w:rPr>
              <w:br/>
              <w:t>13.0 (</w:t>
            </w:r>
            <w:proofErr w:type="spellStart"/>
            <w:r w:rsidR="00112011" w:rsidRPr="00B54A75">
              <w:rPr>
                <w:rFonts w:ascii="Calibri" w:eastAsia="Times New Roman" w:hAnsi="Calibri" w:cs="Calibri"/>
                <w:color w:val="000000"/>
                <w:sz w:val="20"/>
                <w:szCs w:val="20"/>
                <w:lang w:eastAsia="en-AU"/>
              </w:rPr>
              <w:t>LMeDI</w:t>
            </w:r>
            <w:proofErr w:type="spellEnd"/>
            <w:r w:rsidR="00112011" w:rsidRPr="00B54A75">
              <w:rPr>
                <w:rFonts w:ascii="Calibri" w:eastAsia="Times New Roman" w:hAnsi="Calibri" w:cs="Calibri"/>
                <w:color w:val="000000"/>
                <w:sz w:val="20"/>
                <w:szCs w:val="20"/>
                <w:lang w:eastAsia="en-AU"/>
              </w:rPr>
              <w:t>)</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(MRI)</w:t>
            </w:r>
            <w:r w:rsidRPr="00B54A75">
              <w:rPr>
                <w:rFonts w:ascii="Calibri" w:eastAsia="Times New Roman" w:hAnsi="Calibri" w:cs="Calibri"/>
                <w:color w:val="000000"/>
                <w:sz w:val="20"/>
                <w:szCs w:val="20"/>
                <w:lang w:eastAsia="en-AU"/>
              </w:rPr>
              <w:br/>
            </w:r>
            <w:proofErr w:type="spellStart"/>
            <w:r w:rsidR="009F3693">
              <w:rPr>
                <w:rFonts w:ascii="Calibri" w:eastAsia="Times New Roman" w:hAnsi="Calibri" w:cs="Calibri"/>
                <w:color w:val="000000"/>
                <w:sz w:val="20"/>
                <w:szCs w:val="20"/>
                <w:u w:val="single"/>
                <w:lang w:eastAsia="en-AU"/>
              </w:rPr>
              <w:t>H</w:t>
            </w:r>
            <w:r w:rsidRPr="00B54A75">
              <w:rPr>
                <w:rFonts w:ascii="Calibri" w:eastAsia="Times New Roman" w:hAnsi="Calibri" w:cs="Calibri"/>
                <w:color w:val="000000"/>
                <w:sz w:val="20"/>
                <w:szCs w:val="20"/>
                <w:u w:val="single"/>
                <w:lang w:eastAsia="en-AU"/>
              </w:rPr>
              <w:t>MeDI</w:t>
            </w:r>
            <w:proofErr w:type="spellEnd"/>
            <w:r w:rsidRPr="00B54A75">
              <w:rPr>
                <w:rFonts w:ascii="Calibri" w:eastAsia="Times New Roman" w:hAnsi="Calibri" w:cs="Calibri"/>
                <w:color w:val="000000"/>
                <w:sz w:val="20"/>
                <w:szCs w:val="20"/>
                <w:u w:val="single"/>
                <w:lang w:eastAsia="en-AU"/>
              </w:rPr>
              <w:t xml:space="preserve"> score (≥5)</w:t>
            </w:r>
            <w:r w:rsidRPr="00B54A75">
              <w:rPr>
                <w:rFonts w:ascii="Calibri" w:eastAsia="Times New Roman" w:hAnsi="Calibri" w:cs="Calibri"/>
                <w:color w:val="000000"/>
                <w:sz w:val="20"/>
                <w:szCs w:val="20"/>
                <w:lang w:eastAsia="en-AU"/>
              </w:rPr>
              <w:t xml:space="preserve"> associated with:</w:t>
            </w:r>
            <w:r w:rsidRPr="00B54A75">
              <w:rPr>
                <w:rFonts w:ascii="Calibri" w:eastAsia="Times New Roman" w:hAnsi="Calibri" w:cs="Calibri"/>
                <w:color w:val="000000"/>
                <w:sz w:val="20"/>
                <w:szCs w:val="20"/>
                <w:lang w:eastAsia="en-AU"/>
              </w:rPr>
              <w:br/>
              <w:t xml:space="preserve">           ↑ CT of OFC, ERC, &amp; </w:t>
            </w:r>
            <w:proofErr w:type="spellStart"/>
            <w:r w:rsidRPr="00B54A75">
              <w:rPr>
                <w:rFonts w:ascii="Calibri" w:eastAsia="Times New Roman" w:hAnsi="Calibri" w:cs="Calibri"/>
                <w:color w:val="000000"/>
                <w:sz w:val="20"/>
                <w:szCs w:val="20"/>
                <w:lang w:eastAsia="en-AU"/>
              </w:rPr>
              <w:t>poCingC</w:t>
            </w:r>
            <w:proofErr w:type="spellEnd"/>
          </w:p>
        </w:tc>
      </w:tr>
      <w:tr w:rsidR="009321E8" w:rsidRPr="00B54A75" w:rsidTr="00101592">
        <w:trPr>
          <w:trHeight w:val="1026"/>
        </w:trPr>
        <w:tc>
          <w:tcPr>
            <w:tcW w:w="1840" w:type="dxa"/>
            <w:tcBorders>
              <w:top w:val="nil"/>
              <w:left w:val="nil"/>
              <w:bottom w:val="nil"/>
              <w:right w:val="nil"/>
            </w:tcBorders>
            <w:shd w:val="clear" w:color="auto" w:fill="auto"/>
            <w:vAlign w:val="bottom"/>
            <w:hideMark/>
          </w:tcPr>
          <w:p w:rsidR="00112011" w:rsidRPr="00B54A75" w:rsidRDefault="00B54A75" w:rsidP="001E46D5">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Titova</w:t>
            </w:r>
            <w:proofErr w:type="spellEnd"/>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Ax</w:t>
            </w:r>
            <w:proofErr w:type="spellEnd"/>
            <w:r w:rsidRPr="00B54A75">
              <w:rPr>
                <w:rFonts w:ascii="Calibri" w:eastAsia="Times New Roman" w:hAnsi="Calibri" w:cs="Calibri"/>
                <w:color w:val="000000"/>
                <w:sz w:val="20"/>
                <w:szCs w:val="20"/>
                <w:lang w:eastAsia="en-AU"/>
              </w:rPr>
              <w:t xml:space="preserve"> et al.</w:t>
            </w:r>
            <w:r w:rsidR="00CA60C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"10.1016/j.exger.2013.10.002", "ISSN" : "1873-6815", "PMID" : "24126083", "abstract" : "To examine the association between dietary habits, cognitive functioning and brain volumes in older individuals, data from 194 cognitively healthy individuals who participated in the Prospective Investigation of the Vasculature in Uppsala Seniors cohort were used. At age 70, participants kept diaries of their food intake for 1week. These records were used to calculate a Mediterranean diet (MeDi) score (comprising dietary habits traditionally found in Mediterranean countries, e.g. high intake of fruits and low intake of meat), with higher scores indicating more pronounced MeDi-like dietary habits. Five years later, participants' cognitive capabilities were examined by the seven minute screening (7MS) (a cognitive test battery used by clinicians to screen for dementia), and their brain volumes were measured by volumetric magnetic resonance imaging. Multivariate linear regression analyses were constructed to examine the association between the total MeDi score and cognitive functioning and brain volumes. In addition, possible associations between MeDi's eight dietary features and cognitive functioning and brain volumes were investigated. From the eight dietary features included in the MeDi score, pertaining to a low consumption of meat and meat products was linked to a better performance on the 7MS test (P=0.001) and greater total brain volume (i.e. the sum of white and gray matter, P=0.03) when controlling for potential confounders (e.g. BMI) in the analysis. Integrating all dietary features into the total MeDi score explained less variance in cognitive functioning and brain volumes than its single dietary component meat intake. These observational findings suggest that keeping to a low meat intake could prove to be an impact-driven public health policy to support healthy cognitive aging, when confirmed by longitudinal studies. Further, they suggest that the MeDi score is a construct that may mask possible associations of single MeDi features with brain health domains in elderly populations.", "author" : [ { "dropping-particle" : "", "family" : "Titova", "given" : "Olga E", "non-dropping-particle" : "", "parse-names" : false, "suffix" : "" }, { "dropping-particle" : "", "family" : "Ax", "given" : "Erika", "non-dropping-particle" : "", "parse-names" : false, "suffix" : "" }, { "dropping-particle" : "", "family" : "Brooks", "given" : "Samantha J", "non-dropping-particle" : "", "parse-names" : false, "suffix" : "" }, { "dropping-particle" : "", "family" : "Sj\u00f6gren", "given" : "Per", "non-dropping-particle" : "", "parse-names" : false, "suffix" : "" }, { "dropping-particle" : "", "family" : "Cederholm", "given" : "Tommy", "non-dropping-particle" : "", "parse-names" : false, "suffix" : "" }, { "dropping-particle" : "", "family" : "Kilander", "given" : "Lena", "non-dropping-particle" : "", "parse-names" : false, "suffix" : "" }, { "dropping-particle" : "", "family" : "Kullberg", "given" : "Joel", "non-dropping-particle" : "", "parse-names" : false, "suffix" : "" }, { "dropping-particle" : "", "family" : "Larsson", "given" : "Elna-Marie", "non-dropping-particle" : "", "parse-names" : false, "suffix" : "" }, { "dropping-particle" : "", "family" : "Johansson", "given" : "Lars", "non-dropping-particle" : "", "parse-names" : false, "suffix" : "" }, { "dropping-particle" : "", "family" : "Ahlstr\u00f6m", "given" : "H\u00e5kan", "non-dropping-particle" : "", "parse-names" : false, "suffix" : "" }, { "dropping-particle" : "", "family" : "Lind", "given" : "Lars", "non-dropping-particle" : "", "parse-names" : false, "suffix" : "" }, { "dropping-particle" : "", "family" : "Schi\u00f6th", "given" : "Helgi B", "non-dropping-particle" : "", "parse-names" : false, "suffix" : "" }, { "dropping-particle" : "", "family" : "Benedict", "given" : "Christian", "non-dropping-particle" : "", "parse-names" : false, "suffix" : "" } ], "container-title" : "Experimental Gerontology", "id" : "ITEM-1", "issued" : { "date-parts" : [ [ "2013", "12" ] ] }, "page" : "1443-1448", "publisher" : "The Authors", "title" : "Mediterranean diet habits in older individuals: associations with cognitive functioning and brain volumes", "type" : "article-journal", "volume" : "48" }, "uris" : [ "http://www.mendeley.com/documents/?uuid=7fb562f5-d7f3-4112-b2dc-c6125d38f1d3" ] } ], "mendeley" : { "formattedCitation" : "&lt;sup&gt;(42)&lt;/sup&gt;", "plainTextFormattedCitation" : "(42)", "previouslyFormattedCitation" : "&lt;sup&gt;(42)&lt;/sup&gt;" }, "properties" : { "noteIndex" : 0 }, "schema" : "https://github.com/citation-style-language/schema/raw/master/csl-citation.json" }</w:instrText>
            </w:r>
            <w:r w:rsidR="00CA60C8" w:rsidRPr="00B54A75">
              <w:rPr>
                <w:rFonts w:ascii="Calibri" w:eastAsia="Times New Roman" w:hAnsi="Calibri" w:cs="Calibri"/>
                <w:color w:val="000000"/>
                <w:sz w:val="20"/>
                <w:szCs w:val="20"/>
                <w:lang w:eastAsia="en-AU"/>
              </w:rPr>
              <w:fldChar w:fldCharType="separate"/>
            </w:r>
            <w:r w:rsidRPr="00B54A75">
              <w:rPr>
                <w:rFonts w:ascii="Calibri" w:eastAsia="Times New Roman" w:hAnsi="Calibri" w:cs="Calibri"/>
                <w:noProof/>
                <w:color w:val="000000"/>
                <w:sz w:val="20"/>
                <w:szCs w:val="20"/>
                <w:vertAlign w:val="superscript"/>
                <w:lang w:eastAsia="en-AU"/>
              </w:rPr>
              <w:t>(42)</w:t>
            </w:r>
            <w:r w:rsidR="00CA60C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MeDI</w:t>
            </w:r>
            <w:proofErr w:type="spellEnd"/>
            <w:r w:rsidRPr="00B54A75">
              <w:rPr>
                <w:rFonts w:ascii="Calibri" w:eastAsia="Times New Roman" w:hAnsi="Calibri" w:cs="Calibri"/>
                <w:color w:val="000000"/>
                <w:sz w:val="20"/>
                <w:szCs w:val="20"/>
                <w:lang w:eastAsia="en-AU"/>
              </w:rPr>
              <w:t xml:space="preserve"> (7DFD)</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CN</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194</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≥70.0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70.10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0.01</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Meat or meat product intake</w:t>
            </w:r>
            <w:r w:rsidRPr="00B54A75">
              <w:rPr>
                <w:rFonts w:ascii="Calibri" w:eastAsia="Times New Roman" w:hAnsi="Calibri" w:cs="Calibri"/>
                <w:color w:val="000000"/>
                <w:sz w:val="20"/>
                <w:szCs w:val="20"/>
                <w:lang w:eastAsia="en-AU"/>
              </w:rPr>
              <w:t xml:space="preserve"> associated with: </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br/>
            </w:r>
            <w:proofErr w:type="spellStart"/>
            <w:r w:rsidRPr="00B54A75">
              <w:rPr>
                <w:rFonts w:ascii="Calibri" w:eastAsia="Times New Roman" w:hAnsi="Calibri" w:cs="Calibri"/>
                <w:color w:val="000000"/>
                <w:sz w:val="20"/>
                <w:szCs w:val="20"/>
                <w:u w:val="single"/>
                <w:lang w:eastAsia="en-AU"/>
              </w:rPr>
              <w:t>MeDI</w:t>
            </w:r>
            <w:proofErr w:type="spellEnd"/>
            <w:r w:rsidRPr="00B54A75">
              <w:rPr>
                <w:rFonts w:ascii="Calibri" w:eastAsia="Times New Roman" w:hAnsi="Calibri" w:cs="Calibri"/>
                <w:color w:val="000000"/>
                <w:sz w:val="20"/>
                <w:szCs w:val="20"/>
                <w:u w:val="single"/>
                <w:lang w:eastAsia="en-AU"/>
              </w:rPr>
              <w:t xml:space="preserve"> score </w:t>
            </w:r>
            <w:r w:rsidRPr="00B54A75">
              <w:rPr>
                <w:rFonts w:ascii="Calibri" w:eastAsia="Times New Roman" w:hAnsi="Calibri" w:cs="Calibri"/>
                <w:color w:val="000000"/>
                <w:sz w:val="20"/>
                <w:szCs w:val="20"/>
                <w:lang w:eastAsia="en-AU"/>
              </w:rPr>
              <w:t xml:space="preserve">not associated with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t>, TC-</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or TC-</w:t>
            </w:r>
            <w:proofErr w:type="spellStart"/>
            <w:r w:rsidRPr="00B54A75">
              <w:rPr>
                <w:rFonts w:ascii="Calibri" w:eastAsia="Times New Roman" w:hAnsi="Calibri" w:cs="Calibri"/>
                <w:color w:val="000000"/>
                <w:sz w:val="20"/>
                <w:szCs w:val="20"/>
                <w:lang w:eastAsia="en-AU"/>
              </w:rPr>
              <w:t>WMv</w:t>
            </w:r>
            <w:proofErr w:type="spellEnd"/>
            <w:r w:rsidRPr="00B54A75">
              <w:rPr>
                <w:rFonts w:ascii="Calibri" w:eastAsia="Times New Roman" w:hAnsi="Calibri" w:cs="Calibri"/>
                <w:color w:val="000000"/>
                <w:sz w:val="20"/>
                <w:szCs w:val="20"/>
                <w:lang w:eastAsia="en-AU"/>
              </w:rPr>
              <w:t>.</w:t>
            </w:r>
          </w:p>
        </w:tc>
      </w:tr>
      <w:tr w:rsidR="009321E8" w:rsidRPr="00B54A75" w:rsidTr="00101592">
        <w:trPr>
          <w:trHeight w:val="851"/>
        </w:trPr>
        <w:tc>
          <w:tcPr>
            <w:tcW w:w="1840" w:type="dxa"/>
            <w:tcBorders>
              <w:top w:val="nil"/>
              <w:left w:val="nil"/>
              <w:bottom w:val="nil"/>
              <w:right w:val="nil"/>
            </w:tcBorders>
            <w:shd w:val="clear" w:color="auto" w:fill="auto"/>
            <w:noWrap/>
            <w:vAlign w:val="bottom"/>
            <w:hideMark/>
          </w:tcPr>
          <w:p w:rsidR="00272FF1" w:rsidRDefault="00272FF1" w:rsidP="00112011">
            <w:pPr>
              <w:spacing w:after="0" w:line="240" w:lineRule="auto"/>
              <w:rPr>
                <w:rFonts w:ascii="Calibri" w:eastAsia="Times New Roman" w:hAnsi="Calibri" w:cs="Calibri"/>
                <w:b/>
                <w:bCs/>
                <w:iCs/>
                <w:color w:val="000000"/>
                <w:sz w:val="20"/>
                <w:szCs w:val="20"/>
                <w:lang w:eastAsia="en-AU"/>
              </w:rPr>
            </w:pPr>
          </w:p>
          <w:p w:rsidR="00112011" w:rsidRPr="00B54A75" w:rsidRDefault="006646B7" w:rsidP="00BB58D4">
            <w:pPr>
              <w:spacing w:after="0" w:line="240" w:lineRule="auto"/>
              <w:rPr>
                <w:rFonts w:ascii="Calibri" w:eastAsia="Times New Roman" w:hAnsi="Calibri" w:cs="Calibri"/>
                <w:b/>
                <w:bCs/>
                <w:iCs/>
                <w:color w:val="000000"/>
                <w:sz w:val="20"/>
                <w:szCs w:val="20"/>
                <w:lang w:eastAsia="en-AU"/>
              </w:rPr>
            </w:pPr>
            <w:r>
              <w:rPr>
                <w:rFonts w:ascii="Calibri" w:eastAsia="Times New Roman" w:hAnsi="Calibri" w:cs="Calibri"/>
                <w:b/>
                <w:bCs/>
                <w:iCs/>
                <w:color w:val="000000"/>
                <w:sz w:val="20"/>
                <w:szCs w:val="20"/>
                <w:lang w:eastAsia="en-AU"/>
              </w:rPr>
              <w:t>‘</w:t>
            </w:r>
            <w:r w:rsidR="00AE3412">
              <w:rPr>
                <w:rFonts w:ascii="Calibri" w:eastAsia="Times New Roman" w:hAnsi="Calibri" w:cs="Calibri"/>
                <w:b/>
                <w:bCs/>
                <w:iCs/>
                <w:color w:val="000000"/>
                <w:sz w:val="20"/>
                <w:szCs w:val="20"/>
                <w:lang w:eastAsia="en-AU"/>
              </w:rPr>
              <w:t>Prudent</w:t>
            </w:r>
            <w:r>
              <w:rPr>
                <w:rFonts w:ascii="Calibri" w:eastAsia="Times New Roman" w:hAnsi="Calibri" w:cs="Calibri"/>
                <w:b/>
                <w:bCs/>
                <w:iCs/>
                <w:color w:val="000000"/>
                <w:sz w:val="20"/>
                <w:szCs w:val="20"/>
                <w:lang w:eastAsia="en-AU"/>
              </w:rPr>
              <w:t>’</w:t>
            </w:r>
            <w:r w:rsidR="00AE3412">
              <w:rPr>
                <w:rFonts w:ascii="Calibri" w:eastAsia="Times New Roman" w:hAnsi="Calibri" w:cs="Calibri"/>
                <w:b/>
                <w:bCs/>
                <w:iCs/>
                <w:color w:val="000000"/>
                <w:sz w:val="20"/>
                <w:szCs w:val="20"/>
                <w:lang w:eastAsia="en-AU"/>
              </w:rPr>
              <w:t xml:space="preserve"> </w:t>
            </w:r>
            <w:r w:rsidR="00616522">
              <w:rPr>
                <w:rFonts w:ascii="Calibri" w:eastAsia="Times New Roman" w:hAnsi="Calibri" w:cs="Calibri"/>
                <w:b/>
                <w:bCs/>
                <w:iCs/>
                <w:color w:val="000000"/>
                <w:sz w:val="20"/>
                <w:szCs w:val="20"/>
                <w:lang w:eastAsia="en-AU"/>
              </w:rPr>
              <w:t xml:space="preserve">&amp; Western style </w:t>
            </w:r>
            <w:r w:rsidR="00112011" w:rsidRPr="00B54A75">
              <w:rPr>
                <w:rFonts w:ascii="Calibri" w:eastAsia="Times New Roman" w:hAnsi="Calibri" w:cs="Calibri"/>
                <w:b/>
                <w:bCs/>
                <w:iCs/>
                <w:color w:val="000000"/>
                <w:sz w:val="20"/>
                <w:szCs w:val="20"/>
                <w:lang w:eastAsia="en-AU"/>
              </w:rPr>
              <w:t>diet</w:t>
            </w:r>
            <w:r w:rsidR="003D110B">
              <w:rPr>
                <w:rFonts w:ascii="Calibri" w:eastAsia="Times New Roman" w:hAnsi="Calibri" w:cs="Calibri"/>
                <w:b/>
                <w:bCs/>
                <w:iCs/>
                <w:color w:val="000000"/>
                <w:sz w:val="20"/>
                <w:szCs w:val="20"/>
                <w:lang w:eastAsia="en-AU"/>
              </w:rPr>
              <w:t>s</w:t>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r>
      <w:tr w:rsidR="008251F9" w:rsidRPr="00B54A75" w:rsidTr="00101592">
        <w:trPr>
          <w:trHeight w:val="1669"/>
        </w:trPr>
        <w:tc>
          <w:tcPr>
            <w:tcW w:w="1840" w:type="dxa"/>
            <w:tcBorders>
              <w:top w:val="nil"/>
              <w:left w:val="nil"/>
              <w:bottom w:val="nil"/>
              <w:right w:val="nil"/>
            </w:tcBorders>
            <w:shd w:val="clear" w:color="auto" w:fill="D9D9D9" w:themeFill="background1" w:themeFillShade="D9"/>
            <w:vAlign w:val="bottom"/>
          </w:tcPr>
          <w:p w:rsidR="00472743" w:rsidRPr="00B54A75" w:rsidRDefault="00C73D5C" w:rsidP="00C73D5C">
            <w:pPr>
              <w:spacing w:after="0" w:line="240" w:lineRule="auto"/>
              <w:rPr>
                <w:rFonts w:ascii="Calibri" w:eastAsia="Times New Roman" w:hAnsi="Calibri" w:cs="Calibri"/>
                <w:color w:val="000000"/>
                <w:sz w:val="20"/>
                <w:szCs w:val="20"/>
                <w:lang w:eastAsia="en-AU"/>
              </w:rPr>
            </w:pPr>
            <w:proofErr w:type="spellStart"/>
            <w:r>
              <w:rPr>
                <w:rFonts w:ascii="Calibri" w:eastAsia="Times New Roman" w:hAnsi="Calibri" w:cs="Calibri"/>
                <w:color w:val="000000"/>
                <w:sz w:val="20"/>
                <w:szCs w:val="20"/>
                <w:lang w:eastAsia="en-AU"/>
              </w:rPr>
              <w:t>Croll</w:t>
            </w:r>
            <w:proofErr w:type="spellEnd"/>
            <w:r>
              <w:rPr>
                <w:rFonts w:ascii="Calibri" w:eastAsia="Times New Roman" w:hAnsi="Calibri" w:cs="Calibri"/>
                <w:color w:val="000000"/>
                <w:sz w:val="20"/>
                <w:szCs w:val="20"/>
                <w:lang w:eastAsia="en-AU"/>
              </w:rPr>
              <w:t xml:space="preserve"> et al.</w:t>
            </w:r>
            <w:r>
              <w:rPr>
                <w:rFonts w:ascii="Calibri" w:eastAsia="Times New Roman" w:hAnsi="Calibri" w:cs="Calibri"/>
                <w:color w:val="000000"/>
                <w:sz w:val="20"/>
                <w:szCs w:val="20"/>
                <w:lang w:eastAsia="en-AU"/>
              </w:rPr>
              <w:fldChar w:fldCharType="begin" w:fldLock="1"/>
            </w:r>
            <w:r>
              <w:rPr>
                <w:rFonts w:ascii="Calibri" w:eastAsia="Times New Roman" w:hAnsi="Calibri" w:cs="Calibri"/>
                <w:color w:val="000000"/>
                <w:sz w:val="20"/>
                <w:szCs w:val="20"/>
                <w:lang w:eastAsia="en-AU"/>
              </w:rPr>
              <w:instrText>ADDIN CSL_CITATION { "citationItems" : [ { "id" : "ITEM-1", "itemData" : { "DOI" : "10.1212/WNL.0000000000005691", "ISBN" : "0000000000", "ISSN" : "0028-3878", "PMID" : "29769374", "abstract" : "Objective To investigate the relation of diet quality with structural brain tissue volumes and focal vascular lesions in a dementia-free population. Methods From the population-based Rotterdam Study, 4,447 participants underwent dietary assessment and brain MRI scanning between 2005 and 2015. We excluded participants with an implausible energy intake, prevalent dementia, or cortical infarcts, leaving 4,213 participants for the current analysis. A diet quality score (0\u201314) was calculated reflecting adherence to Dutch dietary guidelines. Brain MRI was performed to obtain information on brain tissue volumes, white matter lesion volume, lacunes, and cerebral microbleeds. The associations of diet quality score and separate food groups with brain structures were assessed using multivariable linear and logistic regression. Results We found that better diet quality related to larger brain volume, gray matter volume, white matter volume, and hippocampal volume. Diet quality was not associated with white matter lesion volume, lacunes, or microbleeds. High intake of vegetables, fruit, whole grains, nuts, dairy, and fish and low intake of sugar-containing beverages were associated with larger brain volumes. Conclusions A better diet quality is associated with larger brain tissue volumes. These results suggest that the effect of nutrition on neurodegeneration may act via brain structure. More research, in particular longitudinal research, is needed to unravel direct vs indirect effects between diet quality and brain health.", "author" : [ { "dropping-particle" : "", "family" : "Croll", "given" : "Pauline H.", "non-dropping-particle" : "", "parse-names" : false, "suffix" : "" }, { "dropping-particle" : "", "family" : "Voortman", "given" : "Trudy", "non-dropping-particle" : "", "parse-names" : false, "suffix" : "" }, { "dropping-particle" : "", "family" : "Ikram", "given" : "M. Arfan", "non-dropping-particle" : "", "parse-names" : false, "suffix" : "" }, { "dropping-particle" : "", "family" : "Franco", "given" : "Oscar H.", "non-dropping-particle" : "", "parse-names" : false, "suffix" : "" }, { "dropping-particle" : "", "family" : "Schoufour", "given" : "Josje D.", "non-dropping-particle" : "", "parse-names" : false, "suffix" : "" }, { "dropping-particle" : "", "family" : "Bos", "given" : "Daniel", "non-dropping-particle" : "", "parse-names" : false, "suffix" : "" }, { "dropping-particle" : "", "family" : "Vernooij", "given" : "Meike W.", "non-dropping-particle" : "", "parse-names" : false, "suffix" : "" } ], "container-title" : "Neurology", "id" : "ITEM-1", "issued" : { "date-parts" : [ [ "2018" ] ] }, "page" : "e2166-e2173", "title" : "Better diet quality relates to larger brain tissue volumes: The Rotterdam Study", "type" : "article-journal", "volume" : "90" }, "uris" : [ "http://www.mendeley.com/documents/?uuid=6f205ed0-15e6-44be-b93d-d354e90c5fda" ] } ], "mendeley" : { "formattedCitation" : "&lt;sup&gt;(43)&lt;/sup&gt;", "plainTextFormattedCitation" : "(43)", "previouslyFormattedCitation" : "&lt;sup&gt;(43)&lt;/sup&gt;" }, "properties" : { "noteIndex" : 0 }, "schema" : "https://github.com/citation-style-language/schema/raw/master/csl-citation.json" }</w:instrText>
            </w:r>
            <w:r>
              <w:rPr>
                <w:rFonts w:ascii="Calibri" w:eastAsia="Times New Roman" w:hAnsi="Calibri" w:cs="Calibri"/>
                <w:color w:val="000000"/>
                <w:sz w:val="20"/>
                <w:szCs w:val="20"/>
                <w:lang w:eastAsia="en-AU"/>
              </w:rPr>
              <w:fldChar w:fldCharType="separate"/>
            </w:r>
            <w:r w:rsidRPr="00C73D5C">
              <w:rPr>
                <w:rFonts w:ascii="Calibri" w:eastAsia="Times New Roman" w:hAnsi="Calibri" w:cs="Calibri"/>
                <w:noProof/>
                <w:color w:val="000000"/>
                <w:sz w:val="20"/>
                <w:szCs w:val="20"/>
                <w:vertAlign w:val="superscript"/>
                <w:lang w:eastAsia="en-AU"/>
              </w:rPr>
              <w:t>(43)</w:t>
            </w:r>
            <w:r>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D9D9D9" w:themeFill="background1" w:themeFillShade="D9"/>
            <w:vAlign w:val="bottom"/>
          </w:tcPr>
          <w:p w:rsidR="00472743" w:rsidRPr="00B54A75" w:rsidRDefault="008251F9" w:rsidP="001F068C">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Diet Quality (</w:t>
            </w:r>
            <w:r w:rsidR="001F068C">
              <w:rPr>
                <w:rFonts w:ascii="Calibri" w:eastAsia="Times New Roman" w:hAnsi="Calibri" w:cs="Calibri"/>
                <w:color w:val="000000"/>
                <w:sz w:val="20"/>
                <w:szCs w:val="20"/>
                <w:lang w:eastAsia="en-AU"/>
              </w:rPr>
              <w:t>Adherence to Dutch Diet</w:t>
            </w:r>
            <w:r w:rsidR="000E09F2">
              <w:rPr>
                <w:rFonts w:ascii="Calibri" w:eastAsia="Times New Roman" w:hAnsi="Calibri" w:cs="Calibri"/>
                <w:color w:val="000000"/>
                <w:sz w:val="20"/>
                <w:szCs w:val="20"/>
                <w:lang w:eastAsia="en-AU"/>
              </w:rPr>
              <w:t>ary</w:t>
            </w:r>
            <w:r w:rsidR="001F068C">
              <w:rPr>
                <w:rFonts w:ascii="Calibri" w:eastAsia="Times New Roman" w:hAnsi="Calibri" w:cs="Calibri"/>
                <w:color w:val="000000"/>
                <w:sz w:val="20"/>
                <w:szCs w:val="20"/>
                <w:lang w:eastAsia="en-AU"/>
              </w:rPr>
              <w:t xml:space="preserve"> Guidelines</w:t>
            </w:r>
            <w:r>
              <w:rPr>
                <w:rFonts w:ascii="Calibri" w:eastAsia="Times New Roman" w:hAnsi="Calibri" w:cs="Calibri"/>
                <w:color w:val="000000"/>
                <w:sz w:val="20"/>
                <w:szCs w:val="20"/>
                <w:lang w:eastAsia="en-AU"/>
              </w:rPr>
              <w:t>)</w:t>
            </w:r>
          </w:p>
        </w:tc>
        <w:tc>
          <w:tcPr>
            <w:tcW w:w="1082" w:type="dxa"/>
            <w:tcBorders>
              <w:top w:val="nil"/>
              <w:left w:val="nil"/>
              <w:bottom w:val="nil"/>
              <w:right w:val="nil"/>
            </w:tcBorders>
            <w:shd w:val="clear" w:color="auto" w:fill="D9D9D9" w:themeFill="background1" w:themeFillShade="D9"/>
            <w:vAlign w:val="bottom"/>
          </w:tcPr>
          <w:p w:rsidR="00472743" w:rsidRPr="00070EC0" w:rsidRDefault="004A4C44" w:rsidP="0011201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auto" w:fill="D9D9D9" w:themeFill="background1" w:themeFillShade="D9"/>
            <w:vAlign w:val="bottom"/>
          </w:tcPr>
          <w:p w:rsidR="00472743" w:rsidRPr="00B54A75" w:rsidRDefault="004A4C44" w:rsidP="0011201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4,213</w:t>
            </w:r>
          </w:p>
        </w:tc>
        <w:tc>
          <w:tcPr>
            <w:tcW w:w="1328" w:type="dxa"/>
            <w:tcBorders>
              <w:top w:val="nil"/>
              <w:left w:val="nil"/>
              <w:bottom w:val="nil"/>
              <w:right w:val="nil"/>
            </w:tcBorders>
            <w:shd w:val="clear" w:color="auto" w:fill="D9D9D9" w:themeFill="background1" w:themeFillShade="D9"/>
            <w:vAlign w:val="bottom"/>
          </w:tcPr>
          <w:p w:rsidR="00472743" w:rsidRPr="00B54A75" w:rsidRDefault="004A4C44" w:rsidP="0011201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45.50-97.50</w:t>
            </w:r>
          </w:p>
        </w:tc>
        <w:tc>
          <w:tcPr>
            <w:tcW w:w="1418" w:type="dxa"/>
            <w:tcBorders>
              <w:top w:val="nil"/>
              <w:left w:val="nil"/>
              <w:bottom w:val="nil"/>
              <w:right w:val="nil"/>
            </w:tcBorders>
            <w:shd w:val="clear" w:color="auto" w:fill="D9D9D9" w:themeFill="background1" w:themeFillShade="D9"/>
            <w:vAlign w:val="bottom"/>
          </w:tcPr>
          <w:p w:rsidR="00472743" w:rsidRPr="00B54A75" w:rsidRDefault="00546A56" w:rsidP="0011201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65.70</w:t>
            </w:r>
          </w:p>
        </w:tc>
        <w:tc>
          <w:tcPr>
            <w:tcW w:w="1417" w:type="dxa"/>
            <w:tcBorders>
              <w:top w:val="nil"/>
              <w:left w:val="nil"/>
              <w:bottom w:val="nil"/>
              <w:right w:val="nil"/>
            </w:tcBorders>
            <w:shd w:val="clear" w:color="auto" w:fill="D9D9D9" w:themeFill="background1" w:themeFillShade="D9"/>
            <w:vAlign w:val="bottom"/>
          </w:tcPr>
          <w:p w:rsidR="00472743" w:rsidRPr="00B54A75" w:rsidRDefault="00546A56" w:rsidP="0011201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10.80</w:t>
            </w:r>
          </w:p>
        </w:tc>
        <w:tc>
          <w:tcPr>
            <w:tcW w:w="5760" w:type="dxa"/>
            <w:tcBorders>
              <w:top w:val="nil"/>
              <w:left w:val="nil"/>
              <w:bottom w:val="nil"/>
              <w:right w:val="nil"/>
            </w:tcBorders>
            <w:shd w:val="clear" w:color="auto" w:fill="D9D9D9" w:themeFill="background1" w:themeFillShade="D9"/>
            <w:vAlign w:val="bottom"/>
          </w:tcPr>
          <w:p w:rsidR="00472743" w:rsidRDefault="00546A56" w:rsidP="009F3693">
            <w:pPr>
              <w:spacing w:after="0" w:line="240" w:lineRule="auto"/>
              <w:rPr>
                <w:rFonts w:ascii="Calibri" w:eastAsia="Times New Roman" w:hAnsi="Calibri" w:cs="Calibri"/>
                <w:b/>
                <w:bCs/>
                <w:iCs/>
                <w:color w:val="000000"/>
                <w:sz w:val="20"/>
                <w:szCs w:val="20"/>
                <w:lang w:eastAsia="en-AU"/>
              </w:rPr>
            </w:pPr>
            <w:r w:rsidRPr="00546A56">
              <w:rPr>
                <w:rFonts w:ascii="Calibri" w:eastAsia="Times New Roman" w:hAnsi="Calibri" w:cs="Calibri"/>
                <w:b/>
                <w:bCs/>
                <w:iCs/>
                <w:color w:val="000000"/>
                <w:sz w:val="20"/>
                <w:szCs w:val="20"/>
                <w:lang w:eastAsia="en-AU"/>
              </w:rPr>
              <w:t>Cross Sectional (MRI)</w:t>
            </w:r>
          </w:p>
          <w:p w:rsidR="00546A56" w:rsidRPr="00546A56" w:rsidRDefault="00546A56" w:rsidP="001F068C">
            <w:pPr>
              <w:spacing w:after="0" w:line="240" w:lineRule="auto"/>
              <w:rPr>
                <w:rFonts w:ascii="Calibri" w:eastAsia="Times New Roman" w:hAnsi="Calibri" w:cs="Calibri"/>
                <w:bCs/>
                <w:iCs/>
                <w:color w:val="000000"/>
                <w:sz w:val="20"/>
                <w:szCs w:val="20"/>
                <w:lang w:eastAsia="en-AU"/>
              </w:rPr>
            </w:pPr>
            <w:r w:rsidRPr="00546A56">
              <w:rPr>
                <w:rFonts w:ascii="Calibri" w:eastAsia="Times New Roman" w:hAnsi="Calibri" w:cs="Calibri"/>
                <w:bCs/>
                <w:iCs/>
                <w:color w:val="000000"/>
                <w:sz w:val="20"/>
                <w:szCs w:val="20"/>
                <w:u w:val="single"/>
                <w:lang w:eastAsia="en-AU"/>
              </w:rPr>
              <w:t xml:space="preserve">↑ </w:t>
            </w:r>
            <w:r w:rsidR="008251F9">
              <w:rPr>
                <w:rFonts w:ascii="Calibri" w:eastAsia="Times New Roman" w:hAnsi="Calibri" w:cs="Calibri"/>
                <w:bCs/>
                <w:iCs/>
                <w:color w:val="000000"/>
                <w:sz w:val="20"/>
                <w:szCs w:val="20"/>
                <w:u w:val="single"/>
                <w:lang w:eastAsia="en-AU"/>
              </w:rPr>
              <w:t>Diet Quality (</w:t>
            </w:r>
            <w:r w:rsidR="001F068C">
              <w:rPr>
                <w:rFonts w:ascii="Calibri" w:eastAsia="Times New Roman" w:hAnsi="Calibri" w:cs="Calibri"/>
                <w:bCs/>
                <w:iCs/>
                <w:color w:val="000000"/>
                <w:sz w:val="20"/>
                <w:szCs w:val="20"/>
                <w:u w:val="single"/>
                <w:lang w:eastAsia="en-AU"/>
              </w:rPr>
              <w:t>Adherence to Dutch Diet</w:t>
            </w:r>
            <w:r w:rsidR="000E09F2">
              <w:rPr>
                <w:rFonts w:ascii="Calibri" w:eastAsia="Times New Roman" w:hAnsi="Calibri" w:cs="Calibri"/>
                <w:bCs/>
                <w:iCs/>
                <w:color w:val="000000"/>
                <w:sz w:val="20"/>
                <w:szCs w:val="20"/>
                <w:u w:val="single"/>
                <w:lang w:eastAsia="en-AU"/>
              </w:rPr>
              <w:t>ary</w:t>
            </w:r>
            <w:r w:rsidR="001F068C">
              <w:rPr>
                <w:rFonts w:ascii="Calibri" w:eastAsia="Times New Roman" w:hAnsi="Calibri" w:cs="Calibri"/>
                <w:bCs/>
                <w:iCs/>
                <w:color w:val="000000"/>
                <w:sz w:val="20"/>
                <w:szCs w:val="20"/>
                <w:u w:val="single"/>
                <w:lang w:eastAsia="en-AU"/>
              </w:rPr>
              <w:t xml:space="preserve"> Guidelines</w:t>
            </w:r>
            <w:r w:rsidR="008251F9">
              <w:rPr>
                <w:rFonts w:ascii="Calibri" w:eastAsia="Times New Roman" w:hAnsi="Calibri" w:cs="Calibri"/>
                <w:bCs/>
                <w:iCs/>
                <w:color w:val="000000"/>
                <w:sz w:val="20"/>
                <w:szCs w:val="20"/>
                <w:u w:val="single"/>
                <w:lang w:eastAsia="en-AU"/>
              </w:rPr>
              <w:t>)</w:t>
            </w:r>
            <w:r w:rsidR="00101592">
              <w:rPr>
                <w:rFonts w:ascii="Calibri" w:eastAsia="Times New Roman" w:hAnsi="Calibri" w:cs="Calibri"/>
                <w:bCs/>
                <w:iCs/>
                <w:color w:val="000000"/>
                <w:sz w:val="20"/>
                <w:szCs w:val="20"/>
                <w:lang w:eastAsia="en-AU"/>
              </w:rPr>
              <w:t xml:space="preserve"> was associated with:</w:t>
            </w:r>
            <w:r w:rsidR="00101592">
              <w:rPr>
                <w:rFonts w:ascii="Calibri" w:eastAsia="Times New Roman" w:hAnsi="Calibri" w:cs="Calibri"/>
                <w:bCs/>
                <w:iCs/>
                <w:color w:val="000000"/>
                <w:sz w:val="20"/>
                <w:szCs w:val="20"/>
                <w:lang w:eastAsia="en-AU"/>
              </w:rPr>
              <w:br/>
              <w:t xml:space="preserve">            ↑ </w:t>
            </w:r>
            <w:proofErr w:type="spellStart"/>
            <w:r w:rsidR="00101592">
              <w:rPr>
                <w:rFonts w:ascii="Calibri" w:eastAsia="Times New Roman" w:hAnsi="Calibri" w:cs="Calibri"/>
                <w:bCs/>
                <w:iCs/>
                <w:color w:val="000000"/>
                <w:sz w:val="20"/>
                <w:szCs w:val="20"/>
                <w:lang w:eastAsia="en-AU"/>
              </w:rPr>
              <w:t>TCv</w:t>
            </w:r>
            <w:proofErr w:type="spellEnd"/>
            <w:r w:rsidR="00101592">
              <w:rPr>
                <w:rFonts w:ascii="Calibri" w:eastAsia="Times New Roman" w:hAnsi="Calibri" w:cs="Calibri"/>
                <w:bCs/>
                <w:iCs/>
                <w:color w:val="000000"/>
                <w:sz w:val="20"/>
                <w:szCs w:val="20"/>
                <w:lang w:eastAsia="en-AU"/>
              </w:rPr>
              <w:br/>
              <w:t xml:space="preserve">            ↑ TC-</w:t>
            </w:r>
            <w:proofErr w:type="spellStart"/>
            <w:r w:rsidR="00101592">
              <w:rPr>
                <w:rFonts w:ascii="Calibri" w:eastAsia="Times New Roman" w:hAnsi="Calibri" w:cs="Calibri"/>
                <w:bCs/>
                <w:iCs/>
                <w:color w:val="000000"/>
                <w:sz w:val="20"/>
                <w:szCs w:val="20"/>
                <w:lang w:eastAsia="en-AU"/>
              </w:rPr>
              <w:t>GMv</w:t>
            </w:r>
            <w:proofErr w:type="spellEnd"/>
            <w:r w:rsidR="00101592">
              <w:rPr>
                <w:rFonts w:ascii="Calibri" w:eastAsia="Times New Roman" w:hAnsi="Calibri" w:cs="Calibri"/>
                <w:bCs/>
                <w:iCs/>
                <w:color w:val="000000"/>
                <w:sz w:val="20"/>
                <w:szCs w:val="20"/>
                <w:lang w:eastAsia="en-AU"/>
              </w:rPr>
              <w:br/>
              <w:t xml:space="preserve">            ↑ TC-</w:t>
            </w:r>
            <w:proofErr w:type="spellStart"/>
            <w:r w:rsidR="00101592">
              <w:rPr>
                <w:rFonts w:ascii="Calibri" w:eastAsia="Times New Roman" w:hAnsi="Calibri" w:cs="Calibri"/>
                <w:bCs/>
                <w:iCs/>
                <w:color w:val="000000"/>
                <w:sz w:val="20"/>
                <w:szCs w:val="20"/>
                <w:lang w:eastAsia="en-AU"/>
              </w:rPr>
              <w:t>WMv</w:t>
            </w:r>
            <w:proofErr w:type="spellEnd"/>
            <w:r w:rsidR="00101592">
              <w:rPr>
                <w:rFonts w:ascii="Calibri" w:eastAsia="Times New Roman" w:hAnsi="Calibri" w:cs="Calibri"/>
                <w:bCs/>
                <w:iCs/>
                <w:color w:val="000000"/>
                <w:sz w:val="20"/>
                <w:szCs w:val="20"/>
                <w:lang w:eastAsia="en-AU"/>
              </w:rPr>
              <w:br/>
              <w:t xml:space="preserve">            ↑ </w:t>
            </w:r>
            <w:proofErr w:type="spellStart"/>
            <w:r w:rsidR="00101592">
              <w:rPr>
                <w:rFonts w:ascii="Calibri" w:eastAsia="Times New Roman" w:hAnsi="Calibri" w:cs="Calibri"/>
                <w:bCs/>
                <w:iCs/>
                <w:color w:val="000000"/>
                <w:sz w:val="20"/>
                <w:szCs w:val="20"/>
                <w:lang w:eastAsia="en-AU"/>
              </w:rPr>
              <w:t>HCv</w:t>
            </w:r>
            <w:proofErr w:type="spellEnd"/>
          </w:p>
        </w:tc>
      </w:tr>
      <w:tr w:rsidR="008251F9" w:rsidRPr="00B54A75" w:rsidTr="006B47A3">
        <w:trPr>
          <w:trHeight w:val="2264"/>
        </w:trPr>
        <w:tc>
          <w:tcPr>
            <w:tcW w:w="1840" w:type="dxa"/>
            <w:tcBorders>
              <w:top w:val="nil"/>
              <w:left w:val="nil"/>
              <w:bottom w:val="nil"/>
              <w:right w:val="nil"/>
            </w:tcBorders>
            <w:shd w:val="clear" w:color="auto" w:fill="FFFFFF" w:themeFill="background1"/>
            <w:vAlign w:val="bottom"/>
            <w:hideMark/>
          </w:tcPr>
          <w:p w:rsidR="00112011" w:rsidRPr="00B54A75" w:rsidRDefault="00B54A75" w:rsidP="00C73D5C">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Jacka</w:t>
            </w:r>
            <w:proofErr w:type="spellEnd"/>
            <w:r w:rsidRPr="00B54A75">
              <w:rPr>
                <w:rFonts w:ascii="Calibri" w:eastAsia="Times New Roman" w:hAnsi="Calibri" w:cs="Calibri"/>
                <w:color w:val="000000"/>
                <w:sz w:val="20"/>
                <w:szCs w:val="20"/>
                <w:lang w:eastAsia="en-AU"/>
              </w:rPr>
              <w:t xml:space="preserve"> et al.</w:t>
            </w:r>
            <w:r w:rsidR="00CA60C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"10.1186/s12916-015-0461-x", "ISSN" : "1741-7015", "PMID" : "26349802", "abstract" : "BACKGROUND: Recent meta-analyses confirm a relationship between diet quality and both depression and cognitive health in adults. While the biological pathways that underpin these relationships are likely multitudinous, extensive evidence from animal studies points to the involvement of the hippocampus. The aim of this study was to examine the association between dietary patterns and hippocampal volume in humans, and to assess whether diet was associated with differential rates of hippocampal atrophy over time. METHODS: Data were drawn from the Personality and Total Health Through Life Study and focused on a subsample of the cohort (n = 255) who were aged 60-64 years at baseline in 2001, completed a food frequency questionnaire, and underwent two magnetic resonance imaging scans approximately 4 years apart. Longitudinal generalized estimating equation linear regression models were used to assess the association between dietary factors and left and right hippocampal volumes over time. RESULTS: Every one standard deviation increase in healthy \"prudent\" dietary pattern was associated with a 45.7 mm(3) (standard error 22.9 mm(3)) larger left hippocampal volume, while higher consumption of an unhealthy \"Western\" dietary pattern was (independently) associated with a 52.6 mm(3) (SE 26.6 mm(3)) smaller left hippocampal volume. These relationships were independent of covariates including age, gender, education, labour-force status, depressive symptoms and medication, physical activity, smoking, hypertension and diabetes. While hippocampal volume declined over time, there was no evidence that dietary patterns influenced this decline. No relationships were observed between dietary patterns and right hippocampal volume. CONCLUSIONS: Lower intakes of nutrient-dense foods and higher intakes of unhealthy foods are each independently associated with smaller left hippocampal volume. To our knowledge, this is the first human study to demonstrate associations between diet and hippocampal volume concordant with data previously observed in animal models.", "author" : [ { "dropping-particle" : "", "family" : "Jacka", "given" : "Felice N", "non-dropping-particle" : "", "parse-names" : false, "suffix" : "" }, { "dropping-particle" : "", "family" : "Cherbuin", "given" : "Nicolas", "non-dropping-particle" : "", "parse-names" : false, "suffix" : "" }, { "dropping-particle" : "", "family" : "Anstey", "given" : "Kaarin J", "non-dropping-particle" : "", "parse-names" : false, "suffix" : "" }, { "dropping-particle" : "", "family" : "Sachdev", "given" : "Perminder", "non-dropping-particle" : "", "parse-names" : false, "suffix" : "" }, { "dropping-particle" : "", "family" : "Butterworth", "given" : "Peter", "non-dropping-particle" : "", "parse-names" : false, "suffix" : "" } ], "container-title" : "BMC medicine", "id" : "ITEM-1", "issued" : { "date-parts" : [ [ "2015", "1" ] ] }, "page" : "215", "publisher" : "BMC Medicine", "title" : "Western diet is associated with a smaller hippocampus: a longitudinal investigation.", "type" : "article-journal", "volume" : "13" }, "uris" : [ "http://www.mendeley.com/documents/?uuid=12aa0273-52c1-4f6b-9ca1-fae90decb507" ] } ], "mendeley" : { "formattedCitation" : "&lt;sup&gt;(44)&lt;/sup&gt;", "plainTextFormattedCitation" : "(44)", "previouslyFormattedCitation" : "&lt;sup&gt;(44)&lt;/sup&gt;" }, "properties" : { "noteIndex" : 0 }, "schema" : "https://github.com/citation-style-language/schema/raw/master/csl-citation.json" }</w:instrText>
            </w:r>
            <w:r w:rsidR="00CA60C8" w:rsidRPr="00B54A75">
              <w:rPr>
                <w:rFonts w:ascii="Calibri" w:eastAsia="Times New Roman" w:hAnsi="Calibri" w:cs="Calibri"/>
                <w:color w:val="000000"/>
                <w:sz w:val="20"/>
                <w:szCs w:val="20"/>
                <w:lang w:eastAsia="en-AU"/>
              </w:rPr>
              <w:fldChar w:fldCharType="separate"/>
            </w:r>
            <w:r w:rsidR="00C73D5C" w:rsidRPr="00C73D5C">
              <w:rPr>
                <w:rFonts w:ascii="Calibri" w:eastAsia="Times New Roman" w:hAnsi="Calibri" w:cs="Calibri"/>
                <w:noProof/>
                <w:color w:val="000000"/>
                <w:sz w:val="20"/>
                <w:szCs w:val="20"/>
                <w:vertAlign w:val="superscript"/>
                <w:lang w:eastAsia="en-AU"/>
              </w:rPr>
              <w:t>(44)</w:t>
            </w:r>
            <w:r w:rsidR="00CA60C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FFFFFF" w:themeFill="background1"/>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 xml:space="preserve">P-Diet &amp; </w:t>
            </w:r>
            <w:proofErr w:type="spellStart"/>
            <w:proofErr w:type="gramStart"/>
            <w:r w:rsidRPr="00B54A75">
              <w:rPr>
                <w:rFonts w:ascii="Calibri" w:eastAsia="Times New Roman" w:hAnsi="Calibri" w:cs="Calibri"/>
                <w:color w:val="000000"/>
                <w:sz w:val="20"/>
                <w:szCs w:val="20"/>
                <w:lang w:eastAsia="en-AU"/>
              </w:rPr>
              <w:t>WeDi</w:t>
            </w:r>
            <w:proofErr w:type="spellEnd"/>
            <w:r w:rsidRPr="00B54A75">
              <w:rPr>
                <w:rFonts w:ascii="Calibri" w:eastAsia="Times New Roman" w:hAnsi="Calibri" w:cs="Calibri"/>
                <w:color w:val="000000"/>
                <w:sz w:val="20"/>
                <w:szCs w:val="20"/>
                <w:lang w:eastAsia="en-AU"/>
              </w:rPr>
              <w:t xml:space="preserve">  (</w:t>
            </w:r>
            <w:proofErr w:type="gramEnd"/>
            <w:r w:rsidRPr="00B54A75">
              <w:rPr>
                <w:rFonts w:ascii="Calibri" w:eastAsia="Times New Roman" w:hAnsi="Calibri" w:cs="Calibri"/>
                <w:color w:val="000000"/>
                <w:sz w:val="20"/>
                <w:szCs w:val="20"/>
                <w:lang w:eastAsia="en-AU"/>
              </w:rPr>
              <w:t>FFQ)</w:t>
            </w:r>
          </w:p>
        </w:tc>
        <w:tc>
          <w:tcPr>
            <w:tcW w:w="1082" w:type="dxa"/>
            <w:tcBorders>
              <w:top w:val="nil"/>
              <w:left w:val="nil"/>
              <w:bottom w:val="nil"/>
              <w:right w:val="nil"/>
            </w:tcBorders>
            <w:shd w:val="clear" w:color="auto" w:fill="FFFFFF" w:themeFill="background1"/>
            <w:vAlign w:val="bottom"/>
            <w:hideMark/>
          </w:tcPr>
          <w:p w:rsidR="00112011" w:rsidRPr="00070EC0" w:rsidRDefault="00112011" w:rsidP="00112011">
            <w:pPr>
              <w:spacing w:after="0" w:line="240" w:lineRule="auto"/>
              <w:rPr>
                <w:rFonts w:ascii="Calibri" w:eastAsia="Times New Roman" w:hAnsi="Calibri" w:cs="Calibri"/>
                <w:color w:val="000000"/>
                <w:sz w:val="20"/>
                <w:szCs w:val="20"/>
                <w:lang w:eastAsia="en-AU"/>
              </w:rPr>
            </w:pPr>
            <w:r w:rsidRPr="00070EC0">
              <w:rPr>
                <w:rFonts w:ascii="Calibri" w:eastAsia="Times New Roman" w:hAnsi="Calibri" w:cs="Calibri"/>
                <w:color w:val="000000"/>
                <w:sz w:val="20"/>
                <w:szCs w:val="20"/>
                <w:lang w:eastAsia="en-AU"/>
              </w:rPr>
              <w:t>DF</w:t>
            </w:r>
            <w:r w:rsidR="00070EC0" w:rsidRPr="00070EC0">
              <w:rPr>
                <w:rFonts w:cstheme="minorHAnsi"/>
              </w:rPr>
              <w:t>§</w:t>
            </w:r>
          </w:p>
        </w:tc>
        <w:tc>
          <w:tcPr>
            <w:tcW w:w="1274" w:type="dxa"/>
            <w:tcBorders>
              <w:top w:val="nil"/>
              <w:left w:val="nil"/>
              <w:bottom w:val="nil"/>
              <w:right w:val="nil"/>
            </w:tcBorders>
            <w:shd w:val="clear" w:color="auto" w:fill="FFFFFF" w:themeFill="background1"/>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118</w:t>
            </w:r>
          </w:p>
        </w:tc>
        <w:tc>
          <w:tcPr>
            <w:tcW w:w="1328" w:type="dxa"/>
            <w:tcBorders>
              <w:top w:val="nil"/>
              <w:left w:val="nil"/>
              <w:bottom w:val="nil"/>
              <w:right w:val="nil"/>
            </w:tcBorders>
            <w:shd w:val="clear" w:color="auto" w:fill="FFFFFF" w:themeFill="background1"/>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60.0 - 64.0</w:t>
            </w:r>
          </w:p>
        </w:tc>
        <w:tc>
          <w:tcPr>
            <w:tcW w:w="1418" w:type="dxa"/>
            <w:tcBorders>
              <w:top w:val="nil"/>
              <w:left w:val="nil"/>
              <w:bottom w:val="nil"/>
              <w:right w:val="nil"/>
            </w:tcBorders>
            <w:shd w:val="clear" w:color="auto" w:fill="FFFFFF" w:themeFill="background1"/>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62.60</w:t>
            </w:r>
          </w:p>
        </w:tc>
        <w:tc>
          <w:tcPr>
            <w:tcW w:w="1417" w:type="dxa"/>
            <w:tcBorders>
              <w:top w:val="nil"/>
              <w:left w:val="nil"/>
              <w:bottom w:val="nil"/>
              <w:right w:val="nil"/>
            </w:tcBorders>
            <w:shd w:val="clear" w:color="auto" w:fill="FFFFFF" w:themeFill="background1"/>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1.42</w:t>
            </w:r>
          </w:p>
        </w:tc>
        <w:tc>
          <w:tcPr>
            <w:tcW w:w="5760" w:type="dxa"/>
            <w:tcBorders>
              <w:top w:val="nil"/>
              <w:left w:val="nil"/>
              <w:bottom w:val="nil"/>
              <w:right w:val="nil"/>
            </w:tcBorders>
            <w:shd w:val="clear" w:color="auto" w:fill="FFFFFF" w:themeFill="background1"/>
            <w:vAlign w:val="bottom"/>
            <w:hideMark/>
          </w:tcPr>
          <w:p w:rsidR="00112011" w:rsidRPr="00B54A75" w:rsidRDefault="00112011" w:rsidP="009F3693">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P-Diet score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HCv</w:t>
            </w:r>
            <w:proofErr w:type="spellEnd"/>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xml:space="preserve">↑ </w:t>
            </w:r>
            <w:proofErr w:type="spellStart"/>
            <w:r w:rsidRPr="00B54A75">
              <w:rPr>
                <w:rFonts w:ascii="Calibri" w:eastAsia="Times New Roman" w:hAnsi="Calibri" w:cs="Calibri"/>
                <w:color w:val="000000"/>
                <w:sz w:val="20"/>
                <w:szCs w:val="20"/>
                <w:u w:val="single"/>
                <w:lang w:eastAsia="en-AU"/>
              </w:rPr>
              <w:t>WeDi</w:t>
            </w:r>
            <w:proofErr w:type="spellEnd"/>
            <w:r w:rsidRPr="00B54A75">
              <w:rPr>
                <w:rFonts w:ascii="Calibri" w:eastAsia="Times New Roman" w:hAnsi="Calibri" w:cs="Calibri"/>
                <w:color w:val="000000"/>
                <w:sz w:val="20"/>
                <w:szCs w:val="20"/>
                <w:u w:val="single"/>
                <w:lang w:eastAsia="en-AU"/>
              </w:rPr>
              <w:t xml:space="preserve"> score </w:t>
            </w:r>
            <w:r w:rsidRPr="00B54A75">
              <w:rPr>
                <w:rFonts w:ascii="Calibri" w:eastAsia="Times New Roman" w:hAnsi="Calibri" w:cs="Calibri"/>
                <w:color w:val="000000"/>
                <w:sz w:val="20"/>
                <w:szCs w:val="20"/>
                <w:lang w:eastAsia="en-AU"/>
              </w:rPr>
              <w:t>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HCv</w:t>
            </w:r>
            <w:proofErr w:type="spellEnd"/>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lang w:eastAsia="en-AU"/>
              </w:rPr>
              <w:br/>
            </w:r>
            <w:r w:rsidRPr="00B54A75">
              <w:rPr>
                <w:rFonts w:ascii="Calibri" w:eastAsia="Times New Roman" w:hAnsi="Calibri" w:cs="Calibri"/>
                <w:b/>
                <w:bCs/>
                <w:iCs/>
                <w:color w:val="000000"/>
                <w:sz w:val="20"/>
                <w:szCs w:val="20"/>
                <w:lang w:eastAsia="en-AU"/>
              </w:rPr>
              <w:t xml:space="preserve">Longitudinal </w:t>
            </w:r>
            <w:r w:rsidRPr="00B54A75">
              <w:rPr>
                <w:rFonts w:ascii="Calibri" w:eastAsia="Times New Roman" w:hAnsi="Calibri" w:cs="Calibri"/>
                <w:b/>
                <w:bCs/>
                <w:color w:val="000000"/>
                <w:sz w:val="20"/>
                <w:szCs w:val="20"/>
                <w:lang w:eastAsia="en-AU"/>
              </w:rPr>
              <w:t>(MRI; 4 years)</w:t>
            </w:r>
            <w:r w:rsidRPr="00B54A75">
              <w:rPr>
                <w:rFonts w:ascii="Calibri" w:eastAsia="Times New Roman" w:hAnsi="Calibri" w:cs="Calibri"/>
                <w:color w:val="000000"/>
                <w:sz w:val="20"/>
                <w:szCs w:val="20"/>
                <w:lang w:eastAsia="en-AU"/>
              </w:rPr>
              <w:br/>
            </w:r>
            <w:r w:rsidR="009F3693">
              <w:rPr>
                <w:rFonts w:ascii="Calibri" w:eastAsia="Times New Roman" w:hAnsi="Calibri" w:cs="Calibri"/>
                <w:color w:val="000000"/>
                <w:sz w:val="20"/>
                <w:szCs w:val="20"/>
                <w:u w:val="single"/>
                <w:lang w:eastAsia="en-AU"/>
              </w:rPr>
              <w:t>P-D</w:t>
            </w:r>
            <w:r w:rsidRPr="00B54A75">
              <w:rPr>
                <w:rFonts w:ascii="Calibri" w:eastAsia="Times New Roman" w:hAnsi="Calibri" w:cs="Calibri"/>
                <w:color w:val="000000"/>
                <w:sz w:val="20"/>
                <w:szCs w:val="20"/>
                <w:u w:val="single"/>
                <w:lang w:eastAsia="en-AU"/>
              </w:rPr>
              <w:t xml:space="preserve">iet </w:t>
            </w:r>
            <w:r w:rsidRPr="00B54A75">
              <w:rPr>
                <w:rFonts w:ascii="Calibri" w:eastAsia="Times New Roman" w:hAnsi="Calibri" w:cs="Calibri"/>
                <w:color w:val="000000"/>
                <w:sz w:val="20"/>
                <w:szCs w:val="20"/>
                <w:lang w:eastAsia="en-AU"/>
              </w:rPr>
              <w:t xml:space="preserve">or </w:t>
            </w:r>
            <w:proofErr w:type="spellStart"/>
            <w:r w:rsidRPr="00B54A75">
              <w:rPr>
                <w:rFonts w:ascii="Calibri" w:eastAsia="Times New Roman" w:hAnsi="Calibri" w:cs="Calibri"/>
                <w:color w:val="000000"/>
                <w:sz w:val="20"/>
                <w:szCs w:val="20"/>
                <w:u w:val="single"/>
                <w:lang w:eastAsia="en-AU"/>
              </w:rPr>
              <w:t>WeDi</w:t>
            </w:r>
            <w:proofErr w:type="spellEnd"/>
            <w:r w:rsidRPr="00B54A75">
              <w:rPr>
                <w:rFonts w:ascii="Calibri" w:eastAsia="Times New Roman" w:hAnsi="Calibri" w:cs="Calibri"/>
                <w:color w:val="000000"/>
                <w:sz w:val="20"/>
                <w:szCs w:val="20"/>
                <w:lang w:eastAsia="en-AU"/>
              </w:rPr>
              <w:t xml:space="preserve"> </w:t>
            </w:r>
            <w:r w:rsidR="009F3693">
              <w:rPr>
                <w:rFonts w:ascii="Calibri" w:eastAsia="Times New Roman" w:hAnsi="Calibri" w:cs="Calibri"/>
                <w:color w:val="000000"/>
                <w:sz w:val="20"/>
                <w:szCs w:val="20"/>
                <w:lang w:eastAsia="en-AU"/>
              </w:rPr>
              <w:t xml:space="preserve">scores </w:t>
            </w:r>
            <w:r w:rsidRPr="00B54A75">
              <w:rPr>
                <w:rFonts w:ascii="Calibri" w:eastAsia="Times New Roman" w:hAnsi="Calibri" w:cs="Calibri"/>
                <w:color w:val="000000"/>
                <w:sz w:val="20"/>
                <w:szCs w:val="20"/>
                <w:lang w:eastAsia="en-AU"/>
              </w:rPr>
              <w:t xml:space="preserve">not associated with differential rates of HC atrophy during </w:t>
            </w:r>
            <w:proofErr w:type="spellStart"/>
            <w:r w:rsidRPr="00B54A75">
              <w:rPr>
                <w:rFonts w:ascii="Calibri" w:eastAsia="Times New Roman" w:hAnsi="Calibri" w:cs="Calibri"/>
                <w:color w:val="000000"/>
                <w:sz w:val="20"/>
                <w:szCs w:val="20"/>
                <w:lang w:eastAsia="en-AU"/>
              </w:rPr>
              <w:t>followup</w:t>
            </w:r>
            <w:proofErr w:type="spellEnd"/>
          </w:p>
        </w:tc>
      </w:tr>
      <w:tr w:rsidR="009321E8" w:rsidRPr="00B54A75" w:rsidTr="00222F25">
        <w:trPr>
          <w:trHeight w:val="345"/>
        </w:trPr>
        <w:tc>
          <w:tcPr>
            <w:tcW w:w="1840" w:type="dxa"/>
            <w:tcBorders>
              <w:top w:val="nil"/>
              <w:left w:val="nil"/>
              <w:bottom w:val="nil"/>
              <w:right w:val="nil"/>
            </w:tcBorders>
            <w:shd w:val="clear" w:color="auto" w:fill="auto"/>
            <w:noWrap/>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r w:rsidRPr="00B54A75">
              <w:rPr>
                <w:rFonts w:ascii="Calibri" w:eastAsia="Times New Roman" w:hAnsi="Calibri" w:cs="Calibri"/>
                <w:b/>
                <w:bCs/>
                <w:iCs/>
                <w:color w:val="000000"/>
                <w:sz w:val="20"/>
                <w:szCs w:val="20"/>
                <w:lang w:eastAsia="en-AU"/>
              </w:rPr>
              <w:t>Alcohol Intake</w:t>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r>
      <w:tr w:rsidR="008251F9" w:rsidRPr="00B54A75" w:rsidTr="00222F25">
        <w:trPr>
          <w:trHeight w:val="1530"/>
        </w:trPr>
        <w:tc>
          <w:tcPr>
            <w:tcW w:w="1840" w:type="dxa"/>
            <w:tcBorders>
              <w:top w:val="nil"/>
              <w:left w:val="nil"/>
              <w:bottom w:val="nil"/>
              <w:right w:val="nil"/>
            </w:tcBorders>
            <w:shd w:val="clear" w:color="000000" w:fill="D9D9D9"/>
            <w:vAlign w:val="bottom"/>
            <w:hideMark/>
          </w:tcPr>
          <w:p w:rsidR="00112011" w:rsidRPr="00B54A75" w:rsidRDefault="00B54A75" w:rsidP="00C73D5C">
            <w:pPr>
              <w:spacing w:after="0" w:line="240" w:lineRule="auto"/>
              <w:rPr>
                <w:rFonts w:ascii="Calibri" w:eastAsia="Times New Roman" w:hAnsi="Calibri" w:cs="Calibri"/>
                <w:color w:val="000000"/>
                <w:sz w:val="20"/>
                <w:szCs w:val="20"/>
                <w:lang w:eastAsia="en-AU"/>
              </w:rPr>
            </w:pPr>
            <w:proofErr w:type="spellStart"/>
            <w:r w:rsidRPr="00B54A75">
              <w:rPr>
                <w:rFonts w:ascii="Calibri" w:eastAsia="Times New Roman" w:hAnsi="Calibri" w:cs="Calibri"/>
                <w:color w:val="000000"/>
                <w:sz w:val="20"/>
                <w:szCs w:val="20"/>
                <w:lang w:eastAsia="en-AU"/>
              </w:rPr>
              <w:t>Topiwala</w:t>
            </w:r>
            <w:proofErr w:type="spellEnd"/>
            <w:r w:rsidRPr="00B54A75">
              <w:rPr>
                <w:rFonts w:ascii="Calibri" w:eastAsia="Times New Roman" w:hAnsi="Calibri" w:cs="Calibri"/>
                <w:color w:val="000000"/>
                <w:sz w:val="20"/>
                <w:szCs w:val="20"/>
                <w:lang w:eastAsia="en-AU"/>
              </w:rPr>
              <w:t xml:space="preserve"> et al.</w:t>
            </w:r>
            <w:r w:rsidR="00CA60C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"10.1136/bmj.j2353", "author" : [ { "dropping-particle" : "", "family" : "Topiwala", "given" : "Anya", "non-dropping-particle" : "", "parse-names" : false, "suffix" : "" }, { "dropping-particle" : "", "family" : "Allan", "given" : "Charlotte L", "non-dropping-particle" : "", "parse-names" : false, "suffix" : "" }, { "dropping-particle" : "", "family" : "Valkanova", "given" : "Vyara", "non-dropping-particle" : "", "parse-names" : false, "suffix" : "" }, { "dropping-particle" : "", "family" : "Zsoldos", "given" : "Enik\u0151", "non-dropping-particle" : "", "parse-names" : false, "suffix" : "" }, { "dropping-particle" : "", "family" : "Filippini", "given" : "Nicola", "non-dropping-particle" : "", "parse-names" : false, "suffix" : "" }, { "dropping-particle" : "", "family" : "Sexton", "given" : "Claire", "non-dropping-particle" : "", "parse-names" : false, "suffix" : "" }, { "dropping-particle" : "", "family" : "Mahmood", "given" : "Abda", "non-dropping-particle" : "", "parse-names" : false, "suffix" : "" }, { "dropping-particle" : "", "family" : "Fooks", "given" : "Peggy", "non-dropping-particle" : "", "parse-names" : false, "suffix" : "" }, { "dropping-particle" : "", "family" : "Singh-manoux", "given" : "Archana", "non-dropping-particle" : "", "parse-names" : false, "suffix" : "" }, { "dropping-particle" : "", "family" : "Mackay", "given" : "Clare E", "non-dropping-particle" : "", "parse-names" : false, "suffix" : "" }, { "dropping-particle" : "", "family" : "Kivim\u00e4ki", "given" : "Mika", "non-dropping-particle" : "", "parse-names" : false, "suffix" : "" }, { "dropping-particle" : "", "family" : "Ebmeier", "given" : "Klaus P", "non-dropping-particle" : "", "parse-names" : false, "suffix" : "" } ], "container-title" : "BMJ", "id" : "ITEM-1", "issued" : { "date-parts" : [ [ "2017" ] ] }, "page" : "j2353", "title" : "Moderate alcohol consumption as risk factor for adverse brain outcomes and cognitive decline: longitudinal cohort study", "type" : "article-journal", "volume" : "357" }, "uris" : [ "http://www.mendeley.com/documents/?uuid=54dd4f8d-b43e-46ce-a505-fa4d1280915b" ] } ], "mendeley" : { "formattedCitation" : "&lt;sup&gt;(45)&lt;/sup&gt;", "plainTextFormattedCitation" : "(45)", "previouslyFormattedCitation" : "&lt;sup&gt;(45)&lt;/sup&gt;" }, "properties" : { "noteIndex" : 0 }, "schema" : "https://github.com/citation-style-language/schema/raw/master/csl-citation.json" }</w:instrText>
            </w:r>
            <w:r w:rsidR="00CA60C8" w:rsidRPr="00B54A75">
              <w:rPr>
                <w:rFonts w:ascii="Calibri" w:eastAsia="Times New Roman" w:hAnsi="Calibri" w:cs="Calibri"/>
                <w:color w:val="000000"/>
                <w:sz w:val="20"/>
                <w:szCs w:val="20"/>
                <w:lang w:eastAsia="en-AU"/>
              </w:rPr>
              <w:fldChar w:fldCharType="separate"/>
            </w:r>
            <w:r w:rsidR="00C73D5C" w:rsidRPr="00C73D5C">
              <w:rPr>
                <w:rFonts w:ascii="Calibri" w:eastAsia="Times New Roman" w:hAnsi="Calibri" w:cs="Calibri"/>
                <w:noProof/>
                <w:color w:val="000000"/>
                <w:sz w:val="20"/>
                <w:szCs w:val="20"/>
                <w:vertAlign w:val="superscript"/>
                <w:lang w:eastAsia="en-AU"/>
              </w:rPr>
              <w:t>(45)</w:t>
            </w:r>
            <w:r w:rsidR="00CA60C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Alcohol Intake (Self Report)</w:t>
            </w:r>
          </w:p>
        </w:tc>
        <w:tc>
          <w:tcPr>
            <w:tcW w:w="1082" w:type="dxa"/>
            <w:tcBorders>
              <w:top w:val="nil"/>
              <w:left w:val="nil"/>
              <w:bottom w:val="nil"/>
              <w:right w:val="nil"/>
            </w:tcBorders>
            <w:shd w:val="clear" w:color="000000" w:fill="D9D9D9"/>
            <w:vAlign w:val="bottom"/>
            <w:hideMark/>
          </w:tcPr>
          <w:p w:rsidR="00112011" w:rsidRPr="00070EC0" w:rsidRDefault="00112011" w:rsidP="00112011">
            <w:pPr>
              <w:spacing w:after="0" w:line="240" w:lineRule="auto"/>
              <w:rPr>
                <w:rFonts w:ascii="Calibri" w:eastAsia="Times New Roman" w:hAnsi="Calibri" w:cs="Calibri"/>
                <w:color w:val="000000"/>
                <w:sz w:val="20"/>
                <w:szCs w:val="20"/>
                <w:lang w:eastAsia="en-AU"/>
              </w:rPr>
            </w:pPr>
            <w:r w:rsidRPr="00070EC0">
              <w:rPr>
                <w:rFonts w:ascii="Calibri" w:eastAsia="Times New Roman" w:hAnsi="Calibri" w:cs="Calibri"/>
                <w:color w:val="000000"/>
                <w:sz w:val="20"/>
                <w:szCs w:val="20"/>
                <w:lang w:eastAsia="en-AU"/>
              </w:rPr>
              <w:t>DF</w:t>
            </w:r>
            <w:r w:rsidR="00070EC0" w:rsidRPr="00070EC0">
              <w:rPr>
                <w:rFonts w:cstheme="minorHAnsi"/>
              </w:rPr>
              <w:t>§</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527</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69.60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5.30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iCs/>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 &amp; DTI)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Mean alcohol intake (units/week)</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GM-d within HC</w:t>
            </w:r>
            <w:r w:rsidRPr="00B54A75">
              <w:rPr>
                <w:rFonts w:ascii="Calibri" w:eastAsia="Times New Roman" w:hAnsi="Calibri" w:cs="Calibri"/>
                <w:color w:val="000000"/>
                <w:sz w:val="20"/>
                <w:szCs w:val="20"/>
                <w:lang w:eastAsia="en-AU"/>
              </w:rPr>
              <w:br/>
              <w:t xml:space="preserve">            ↑ risk of abnormal HC atrophy</w:t>
            </w:r>
            <w:r w:rsidRPr="00B54A75">
              <w:rPr>
                <w:rFonts w:ascii="Calibri" w:eastAsia="Times New Roman" w:hAnsi="Calibri" w:cs="Calibri"/>
                <w:color w:val="000000"/>
                <w:sz w:val="20"/>
                <w:szCs w:val="20"/>
                <w:lang w:eastAsia="en-AU"/>
              </w:rPr>
              <w:br/>
              <w:t xml:space="preserve">            ↓ Microstructural integrity in CC</w:t>
            </w:r>
          </w:p>
        </w:tc>
      </w:tr>
      <w:tr w:rsidR="009321E8" w:rsidRPr="00B54A75" w:rsidTr="00222F25">
        <w:trPr>
          <w:trHeight w:val="2175"/>
        </w:trPr>
        <w:tc>
          <w:tcPr>
            <w:tcW w:w="1840" w:type="dxa"/>
            <w:tcBorders>
              <w:top w:val="nil"/>
              <w:left w:val="nil"/>
              <w:bottom w:val="nil"/>
              <w:right w:val="nil"/>
            </w:tcBorders>
            <w:shd w:val="clear" w:color="auto" w:fill="auto"/>
            <w:vAlign w:val="bottom"/>
            <w:hideMark/>
          </w:tcPr>
          <w:p w:rsidR="00112011" w:rsidRPr="00B54A75" w:rsidRDefault="00B54A75" w:rsidP="00C73D5C">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lastRenderedPageBreak/>
              <w:t>Gu et al.</w:t>
            </w:r>
            <w:r w:rsidR="00CA60C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"10.1016/j.clnu.2013.08.004", "ISSN" : "0261-5614", "author" : [ { "dropping-particle" : "", "family" : "Gu", "given" : "Yian", "non-dropping-particle" : "", "parse-names" : false, "suffix" : "" }, { "dropping-particle" : "", "family" : "Scarmeas", "given" : "Nikolaos", "non-dropping-particle" : "", "parse-names" : false, "suffix" : "" }, { "dropping-particle" : "", "family" : "Eaton", "given" : "Erica", "non-dropping-particle" : "", "parse-names" : false, "suffix" : "" }, { "dropping-particle" : "", "family" : "Luchsinger", "given" : "Jos\u00e9 A", "non-dropping-particle" : "", "parse-names" : false, "suffix" : "" }, { "dropping-particle" : "", "family" : "Decarli", "given" : "Charles", "non-dropping-particle" : "", "parse-names" : false, "suffix" : "" }, { "dropping-particle" : "", "family" : "Stern", "given" : "Yaakov", "non-dropping-particle" : "", "parse-names" : false, "suffix" : "" }, { "dropping-particle" : "", "family" : "Manly", "given" : "Jennifer J", "non-dropping-particle" : "", "parse-names" : false, "suffix" : "" }, { "dropping-particle" : "", "family" : "Schupf", "given" : "Nicole", "non-dropping-particle" : "", "parse-names" : false, "suffix" : "" }, { "dropping-particle" : "", "family" : "Mayeux", "given" : "Richard", "non-dropping-particle" : "", "parse-names" : false, "suffix" : "" }, { "dropping-particle" : "", "family" : "Brickman", "given" : "Adam M", "non-dropping-particle" : "", "parse-names" : false, "suffix" : "" } ], "container-title" : "Clinical Nutrition", "id" : "ITEM-1", "issued" : { "date-parts" : [ [ "2014" ] ] }, "page" : "662-667", "publisher" : "Elsevier Ltd", "title" : "Alcohol intake and brain structure in a multiethnic elderly cohort", "type" : "article-journal", "volume" : "33" }, "uris" : [ "http://www.mendeley.com/documents/?uuid=159f860a-25f7-4ced-8bfb-7c38e50b7731" ] } ], "mendeley" : { "formattedCitation" : "&lt;sup&gt;(46)&lt;/sup&gt;", "plainTextFormattedCitation" : "(46)", "previouslyFormattedCitation" : "&lt;sup&gt;(46)&lt;/sup&gt;" }, "properties" : { "noteIndex" : 0 }, "schema" : "https://github.com/citation-style-language/schema/raw/master/csl-citation.json" }</w:instrText>
            </w:r>
            <w:r w:rsidR="00CA60C8" w:rsidRPr="00B54A75">
              <w:rPr>
                <w:rFonts w:ascii="Calibri" w:eastAsia="Times New Roman" w:hAnsi="Calibri" w:cs="Calibri"/>
                <w:color w:val="000000"/>
                <w:sz w:val="20"/>
                <w:szCs w:val="20"/>
                <w:lang w:eastAsia="en-AU"/>
              </w:rPr>
              <w:fldChar w:fldCharType="separate"/>
            </w:r>
            <w:r w:rsidR="00C73D5C" w:rsidRPr="00C73D5C">
              <w:rPr>
                <w:rFonts w:ascii="Calibri" w:eastAsia="Times New Roman" w:hAnsi="Calibri" w:cs="Calibri"/>
                <w:noProof/>
                <w:color w:val="000000"/>
                <w:sz w:val="20"/>
                <w:szCs w:val="20"/>
                <w:vertAlign w:val="superscript"/>
                <w:lang w:eastAsia="en-AU"/>
              </w:rPr>
              <w:t>(46)</w:t>
            </w:r>
            <w:r w:rsidR="00CA60C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Alcohol Intake (FFQ)</w:t>
            </w: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589</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≥65</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80.10</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5.50</w:t>
            </w: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Light-to-moderate alcohol intake</w:t>
            </w:r>
            <w:r w:rsidRPr="00B54A75">
              <w:rPr>
                <w:rFonts w:ascii="Calibri" w:eastAsia="Times New Roman" w:hAnsi="Calibri" w:cs="Calibri"/>
                <w:color w:val="000000"/>
                <w:sz w:val="20"/>
                <w:szCs w:val="20"/>
                <w:lang w:eastAsia="en-AU"/>
              </w:rPr>
              <w:t xml:space="preserve">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t xml:space="preserve"> (relative to abstinence)</w:t>
            </w:r>
            <w:r w:rsidRPr="00B54A75">
              <w:rPr>
                <w:rFonts w:ascii="Calibri" w:eastAsia="Times New Roman" w:hAnsi="Calibri" w:cs="Calibri"/>
                <w:color w:val="000000"/>
                <w:sz w:val="20"/>
                <w:szCs w:val="20"/>
                <w:lang w:eastAsia="en-AU"/>
              </w:rPr>
              <w:br/>
              <w:t>Association was limited to wine intake &amp; only in basic model</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lang w:eastAsia="en-AU"/>
              </w:rPr>
              <w:br/>
              <w:t xml:space="preserve">Following exclusion of past heavy drinkers or alcoholics, </w:t>
            </w:r>
            <w:r w:rsidRPr="00B54A75">
              <w:rPr>
                <w:rFonts w:ascii="Calibri" w:eastAsia="Times New Roman" w:hAnsi="Calibri" w:cs="Calibri"/>
                <w:color w:val="000000"/>
                <w:sz w:val="20"/>
                <w:szCs w:val="20"/>
                <w:u w:val="single"/>
                <w:lang w:eastAsia="en-AU"/>
              </w:rPr>
              <w:t>moderate wine intake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t xml:space="preserve"> (relative to abstinence)</w:t>
            </w:r>
          </w:p>
        </w:tc>
      </w:tr>
      <w:tr w:rsidR="008251F9" w:rsidRPr="00B54A75" w:rsidTr="00222F25">
        <w:trPr>
          <w:trHeight w:val="1174"/>
        </w:trPr>
        <w:tc>
          <w:tcPr>
            <w:tcW w:w="1840" w:type="dxa"/>
            <w:tcBorders>
              <w:top w:val="nil"/>
              <w:left w:val="nil"/>
              <w:bottom w:val="nil"/>
              <w:right w:val="nil"/>
            </w:tcBorders>
            <w:shd w:val="clear" w:color="000000" w:fill="D9D9D9"/>
            <w:vAlign w:val="bottom"/>
            <w:hideMark/>
          </w:tcPr>
          <w:p w:rsidR="00112011" w:rsidRPr="00B54A75" w:rsidRDefault="00B54A75" w:rsidP="00C73D5C">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Paul et al.</w:t>
            </w:r>
            <w:r w:rsidR="009321E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"Paul", "given" : "Carol Ann", "non-dropping-particle" : "", "parse-names" : false, "suffix" : "" }, { "dropping-particle" : "", "family" : "Au", "given" : "Rhoda", "non-dropping-particle" : "", "parse-names" : false, "suffix" : "" }, { "dropping-particle" : "", "family" : "Fredman", "given" : "Lisa", "non-dropping-particle" : "", "parse-names" : false, "suffix" : "" }, { "dropping-particle" : "", "family" : "Massaro", "given" : "Joseph M", "non-dropping-particle" : "", "parse-names" : false, "suffix" : "" }, { "dropping-particle" : "", "family" : "Seshadri", "given" : "Sudha", "non-dropping-particle" : "", "parse-names" : false, "suffix" : "" }, { "dropping-particle" : "", "family" : "Decarli", "given" : "Charles", "non-dropping-particle" : "", "parse-names" : false, "suffix" : "" }, { "dropping-particle" : "", "family" : "Wolf", "given" : "Philip A", "non-dropping-particle" : "", "parse-names" : false, "suffix" : "" } ], "container-title" : "Archives of Neurology", "id" : "ITEM-1", "issued" : { "date-parts" : [ [ "2008" ] ] }, "page" : "1363-1367", "title" : "Association of Alcohol Consumption With Brain Volume in the Framingham Study", "type" : "article-journal", "volume" : "65" }, "uris" : [ "http://www.mendeley.com/documents/?uuid=51df842e-e8a2-4896-9f50-f1932e52fc6e" ] } ], "mendeley" : { "formattedCitation" : "&lt;sup&gt;(47)&lt;/sup&gt;", "plainTextFormattedCitation" : "(47)", "previouslyFormattedCitation" : "&lt;sup&gt;(47)&lt;/sup&gt;" }, "properties" : { "noteIndex" : 0 }, "schema" : "https://github.com/citation-style-language/schema/raw/master/csl-citation.json" }</w:instrText>
            </w:r>
            <w:r w:rsidR="009321E8" w:rsidRPr="00B54A75">
              <w:rPr>
                <w:rFonts w:ascii="Calibri" w:eastAsia="Times New Roman" w:hAnsi="Calibri" w:cs="Calibri"/>
                <w:color w:val="000000"/>
                <w:sz w:val="20"/>
                <w:szCs w:val="20"/>
                <w:lang w:eastAsia="en-AU"/>
              </w:rPr>
              <w:fldChar w:fldCharType="separate"/>
            </w:r>
            <w:r w:rsidR="00C73D5C" w:rsidRPr="00C73D5C">
              <w:rPr>
                <w:rFonts w:ascii="Calibri" w:eastAsia="Times New Roman" w:hAnsi="Calibri" w:cs="Calibri"/>
                <w:noProof/>
                <w:color w:val="000000"/>
                <w:sz w:val="20"/>
                <w:szCs w:val="20"/>
                <w:vertAlign w:val="superscript"/>
                <w:lang w:eastAsia="en-AU"/>
              </w:rPr>
              <w:t>(47)</w:t>
            </w:r>
            <w:r w:rsidR="009321E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Alcohol Intake (Self Report)</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1,839</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33.0 - 88.0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60.64</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9.42</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Self-reported alcohol intake</w:t>
            </w:r>
            <w:r w:rsidRPr="00B54A75">
              <w:rPr>
                <w:rFonts w:ascii="Calibri" w:eastAsia="Times New Roman" w:hAnsi="Calibri" w:cs="Calibri"/>
                <w:color w:val="000000"/>
                <w:sz w:val="20"/>
                <w:szCs w:val="20"/>
                <w:lang w:eastAsia="en-AU"/>
              </w:rPr>
              <w:t xml:space="preserve">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TCv</w:t>
            </w:r>
            <w:proofErr w:type="spellEnd"/>
            <w:r w:rsidRPr="00B54A75">
              <w:rPr>
                <w:rFonts w:ascii="Calibri" w:eastAsia="Times New Roman" w:hAnsi="Calibri" w:cs="Calibri"/>
                <w:color w:val="000000"/>
                <w:sz w:val="20"/>
                <w:szCs w:val="20"/>
                <w:lang w:eastAsia="en-AU"/>
              </w:rPr>
              <w:br/>
              <w:t>Association was stronger in females</w:t>
            </w:r>
          </w:p>
        </w:tc>
      </w:tr>
      <w:tr w:rsidR="009321E8" w:rsidRPr="00B54A75" w:rsidTr="00222F25">
        <w:trPr>
          <w:trHeight w:val="1350"/>
        </w:trPr>
        <w:tc>
          <w:tcPr>
            <w:tcW w:w="1840" w:type="dxa"/>
            <w:tcBorders>
              <w:top w:val="nil"/>
              <w:left w:val="nil"/>
              <w:bottom w:val="nil"/>
              <w:right w:val="nil"/>
            </w:tcBorders>
            <w:shd w:val="clear" w:color="auto" w:fill="auto"/>
            <w:vAlign w:val="bottom"/>
            <w:hideMark/>
          </w:tcPr>
          <w:p w:rsidR="00112011" w:rsidRPr="00B54A75" w:rsidRDefault="00B54A75" w:rsidP="00C73D5C">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Sachdev et al.</w:t>
            </w:r>
            <w:r w:rsidR="009321E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"10.1016/j.pscychresns.2007.08.009", "author" : [ { "dropping-particle" : "", "family" : "Sachdev", "given" : "Perminder S", "non-dropping-particle" : "", "parse-names" : false, "suffix" : "" }, { "dropping-particle" : "", "family" : "Chen", "given" : "Xiaohua", "non-dropping-particle" : "", "parse-names" : false, "suffix" : "" }, { "dropping-particle" : "", "family" : "Wen", "given" : "Wei", "non-dropping-particle" : "", "parse-names" : false, "suffix" : "" }, { "dropping-particle" : "", "family" : "Anstry", "given" : "Kaarin J", "non-dropping-particle" : "", "parse-names" : false, "suffix" : "" } ], "container-title" : "Psychiatry Research: Neuroimaging", "id" : "ITEM-1", "issued" : { "date-parts" : [ [ "2008" ] ] }, "page" : "61-69", "title" : "Light to moderate alcohol use is associated with increased cortical gray matter in middle-aged men: A voxel-based morphometric study", "type" : "article-journal", "volume" : "163" }, "uris" : [ "http://www.mendeley.com/documents/?uuid=de521c08-41b1-4318-83a3-72a82e3ea0d3" ] } ], "mendeley" : { "formattedCitation" : "&lt;sup&gt;(48)&lt;/sup&gt;", "plainTextFormattedCitation" : "(48)", "previouslyFormattedCitation" : "&lt;sup&gt;(48)&lt;/sup&gt;" }, "properties" : { "noteIndex" : 0 }, "schema" : "https://github.com/citation-style-language/schema/raw/master/csl-citation.json" }</w:instrText>
            </w:r>
            <w:r w:rsidR="009321E8" w:rsidRPr="00B54A75">
              <w:rPr>
                <w:rFonts w:ascii="Calibri" w:eastAsia="Times New Roman" w:hAnsi="Calibri" w:cs="Calibri"/>
                <w:color w:val="000000"/>
                <w:sz w:val="20"/>
                <w:szCs w:val="20"/>
                <w:lang w:eastAsia="en-AU"/>
              </w:rPr>
              <w:fldChar w:fldCharType="separate"/>
            </w:r>
            <w:r w:rsidR="00C73D5C" w:rsidRPr="00C73D5C">
              <w:rPr>
                <w:rFonts w:ascii="Calibri" w:eastAsia="Times New Roman" w:hAnsi="Calibri" w:cs="Calibri"/>
                <w:noProof/>
                <w:color w:val="000000"/>
                <w:sz w:val="20"/>
                <w:szCs w:val="20"/>
                <w:vertAlign w:val="superscript"/>
                <w:lang w:eastAsia="en-AU"/>
              </w:rPr>
              <w:t>(48)</w:t>
            </w:r>
            <w:r w:rsidR="009321E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Alcohol Intake (SQ)</w:t>
            </w:r>
          </w:p>
        </w:tc>
        <w:tc>
          <w:tcPr>
            <w:tcW w:w="1082" w:type="dxa"/>
            <w:tcBorders>
              <w:top w:val="nil"/>
              <w:left w:val="nil"/>
              <w:bottom w:val="nil"/>
              <w:right w:val="nil"/>
            </w:tcBorders>
            <w:shd w:val="clear" w:color="auto" w:fill="auto"/>
            <w:vAlign w:val="bottom"/>
            <w:hideMark/>
          </w:tcPr>
          <w:p w:rsidR="00112011" w:rsidRPr="00B54A75" w:rsidRDefault="001D5D74" w:rsidP="001D5D74">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H</w:t>
            </w: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383</w:t>
            </w: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60.0 - 64.0</w:t>
            </w: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62.66</w:t>
            </w: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1.43</w:t>
            </w:r>
          </w:p>
        </w:tc>
        <w:tc>
          <w:tcPr>
            <w:tcW w:w="5760" w:type="dxa"/>
            <w:tcBorders>
              <w:top w:val="nil"/>
              <w:left w:val="nil"/>
              <w:bottom w:val="nil"/>
              <w:right w:val="nil"/>
            </w:tcBorders>
            <w:shd w:val="clear" w:color="auto" w:fill="auto"/>
            <w:vAlign w:val="bottom"/>
            <w:hideMark/>
          </w:tcPr>
          <w:p w:rsidR="00112011" w:rsidRPr="00B54A75" w:rsidRDefault="00112011" w:rsidP="002A5EF7">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 xml:space="preserve">Cross sectional </w:t>
            </w:r>
            <w:r w:rsidRPr="00B54A75">
              <w:rPr>
                <w:rFonts w:ascii="Calibri" w:eastAsia="Times New Roman" w:hAnsi="Calibri" w:cs="Calibri"/>
                <w:b/>
                <w:bCs/>
                <w:color w:val="000000"/>
                <w:sz w:val="20"/>
                <w:szCs w:val="20"/>
                <w:lang w:eastAsia="en-AU"/>
              </w:rPr>
              <w:t>(MRI)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 Alcohol intake</w:t>
            </w:r>
            <w:r w:rsidRPr="00B54A75">
              <w:rPr>
                <w:rFonts w:ascii="Calibri" w:eastAsia="Times New Roman" w:hAnsi="Calibri" w:cs="Calibri"/>
                <w:color w:val="000000"/>
                <w:sz w:val="20"/>
                <w:szCs w:val="20"/>
                <w:lang w:eastAsia="en-AU"/>
              </w:rPr>
              <w:t xml:space="preserve"> was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within FL, PL, &amp; OL subregions</w:t>
            </w:r>
            <w:r w:rsidRPr="00B54A75">
              <w:rPr>
                <w:rFonts w:ascii="Calibri" w:eastAsia="Times New Roman" w:hAnsi="Calibri" w:cs="Calibri"/>
                <w:color w:val="000000"/>
                <w:sz w:val="20"/>
                <w:szCs w:val="20"/>
                <w:lang w:eastAsia="en-AU"/>
              </w:rPr>
              <w:br/>
              <w:t xml:space="preserve">             </w:t>
            </w:r>
            <w:r w:rsidR="002A5EF7">
              <w:rPr>
                <w:rFonts w:ascii="Calibri" w:eastAsia="Times New Roman" w:hAnsi="Calibri" w:cs="Calibri"/>
                <w:color w:val="000000"/>
                <w:sz w:val="20"/>
                <w:szCs w:val="20"/>
                <w:lang w:eastAsia="en-AU"/>
              </w:rPr>
              <w:t xml:space="preserve">↓ </w:t>
            </w:r>
            <w:proofErr w:type="spellStart"/>
            <w:r w:rsidR="002A5EF7">
              <w:rPr>
                <w:rFonts w:ascii="Calibri" w:eastAsia="Times New Roman" w:hAnsi="Calibri" w:cs="Calibri"/>
                <w:color w:val="000000"/>
                <w:sz w:val="20"/>
                <w:szCs w:val="20"/>
                <w:lang w:eastAsia="en-AU"/>
              </w:rPr>
              <w:t>WMv</w:t>
            </w:r>
            <w:proofErr w:type="spellEnd"/>
            <w:r w:rsidR="002A5EF7">
              <w:rPr>
                <w:rFonts w:ascii="Calibri" w:eastAsia="Times New Roman" w:hAnsi="Calibri" w:cs="Calibri"/>
                <w:color w:val="000000"/>
                <w:sz w:val="20"/>
                <w:szCs w:val="20"/>
                <w:lang w:eastAsia="en-AU"/>
              </w:rPr>
              <w:t xml:space="preserve"> within TL &amp; med-TL subregions</w:t>
            </w:r>
            <w:r w:rsidRPr="00B54A75">
              <w:rPr>
                <w:rFonts w:ascii="Calibri" w:eastAsia="Times New Roman" w:hAnsi="Calibri" w:cs="Calibri"/>
                <w:color w:val="000000"/>
                <w:sz w:val="20"/>
                <w:szCs w:val="20"/>
                <w:lang w:eastAsia="en-AU"/>
              </w:rPr>
              <w:br/>
              <w:t xml:space="preserve">Associations only significant in males </w:t>
            </w:r>
          </w:p>
        </w:tc>
      </w:tr>
      <w:tr w:rsidR="008251F9" w:rsidRPr="00B54A75" w:rsidTr="00B54A75">
        <w:trPr>
          <w:trHeight w:val="2624"/>
        </w:trPr>
        <w:tc>
          <w:tcPr>
            <w:tcW w:w="1840" w:type="dxa"/>
            <w:tcBorders>
              <w:top w:val="nil"/>
              <w:left w:val="nil"/>
              <w:bottom w:val="nil"/>
              <w:right w:val="nil"/>
            </w:tcBorders>
            <w:shd w:val="clear" w:color="000000" w:fill="D9D9D9"/>
            <w:vAlign w:val="bottom"/>
            <w:hideMark/>
          </w:tcPr>
          <w:p w:rsidR="00112011" w:rsidRPr="00B54A75" w:rsidRDefault="00B54A75" w:rsidP="00C73D5C">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 xml:space="preserve">den </w:t>
            </w:r>
            <w:proofErr w:type="spellStart"/>
            <w:r w:rsidRPr="00B54A75">
              <w:rPr>
                <w:rFonts w:ascii="Calibri" w:eastAsia="Times New Roman" w:hAnsi="Calibri" w:cs="Calibri"/>
                <w:color w:val="000000"/>
                <w:sz w:val="20"/>
                <w:szCs w:val="20"/>
                <w:lang w:eastAsia="en-AU"/>
              </w:rPr>
              <w:t>Heijer</w:t>
            </w:r>
            <w:proofErr w:type="spellEnd"/>
            <w:r w:rsidRPr="00B54A75">
              <w:rPr>
                <w:rFonts w:ascii="Calibri" w:eastAsia="Times New Roman" w:hAnsi="Calibri" w:cs="Calibri"/>
                <w:color w:val="000000"/>
                <w:sz w:val="20"/>
                <w:szCs w:val="20"/>
                <w:lang w:eastAsia="en-AU"/>
              </w:rPr>
              <w:t xml:space="preserve"> et al.</w:t>
            </w:r>
            <w:r w:rsidR="009321E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"author" : [ { "dropping-particle" : "", "family" : "Heijer", "given" : "Tom", "non-dropping-particle" : "den", "parse-names" : false, "suffix" : "" }, { "dropping-particle" : "", "family" : "Vermeer", "given" : "Sarah E", "non-dropping-particle" : "", "parse-names" : false, "suffix" : "" }, { "dropping-particle" : "Van", "family" : "Dijk", "given" : "Ewoud J", "non-dropping-particle" : "", "parse-names" : false, "suffix" : "" }, { "dropping-particle" : "", "family" : "Prins", "given" : "Niels D", "non-dropping-particle" : "", "parse-names" : false, "suffix" : "" }, { "dropping-particle" : "", "family" : "Koudstaal", "given" : "Peter J", "non-dropping-particle" : "", "parse-names" : false, "suffix" : "" }, { "dropping-particle" : "Van", "family" : "Duijn", "given" : "Cornelia M", "non-dropping-particle" : "", "parse-names" : false, "suffix" : "" }, { "dropping-particle" : "", "family" : "Hofman", "given" : "Albert", "non-dropping-particle" : "", "parse-names" : false, "suffix" : "" }, { "dropping-particle" : "", "family" : "Breteler", "given" : "Monique M B", "non-dropping-particle" : "", "parse-names" : false, "suffix" : "" } ], "container-title" : "American Journal of Clinical Nutriition", "id" : "ITEM-1", "issued" : { "date-parts" : [ [ "2004" ] ] }, "page" : "992-997", "title" : "Alcohol intake in relation to brain magnetic resonance imaging findings in older persons without dementia", "type" : "article-journal", "volume" : "80" }, "uris" : [ "http://www.mendeley.com/documents/?uuid=ec79bcec-4f0c-46e1-92c9-1b436aed9a92" ] } ], "mendeley" : { "formattedCitation" : "&lt;sup&gt;(49)&lt;/sup&gt;", "plainTextFormattedCitation" : "(49)", "previouslyFormattedCitation" : "&lt;sup&gt;(49)&lt;/sup&gt;" }, "properties" : { "noteIndex" : 0 }, "schema" : "https://github.com/citation-style-language/schema/raw/master/csl-citation.json" }</w:instrText>
            </w:r>
            <w:r w:rsidR="009321E8" w:rsidRPr="00B54A75">
              <w:rPr>
                <w:rFonts w:ascii="Calibri" w:eastAsia="Times New Roman" w:hAnsi="Calibri" w:cs="Calibri"/>
                <w:color w:val="000000"/>
                <w:sz w:val="20"/>
                <w:szCs w:val="20"/>
                <w:lang w:eastAsia="en-AU"/>
              </w:rPr>
              <w:fldChar w:fldCharType="separate"/>
            </w:r>
            <w:r w:rsidR="00C73D5C" w:rsidRPr="00C73D5C">
              <w:rPr>
                <w:rFonts w:ascii="Calibri" w:eastAsia="Times New Roman" w:hAnsi="Calibri" w:cs="Calibri"/>
                <w:noProof/>
                <w:color w:val="000000"/>
                <w:sz w:val="20"/>
                <w:szCs w:val="20"/>
                <w:vertAlign w:val="superscript"/>
                <w:lang w:eastAsia="en-AU"/>
              </w:rPr>
              <w:t>(49)</w:t>
            </w:r>
            <w:r w:rsidR="009321E8" w:rsidRPr="00B54A75">
              <w:rPr>
                <w:rFonts w:ascii="Calibri" w:eastAsia="Times New Roman" w:hAnsi="Calibri" w:cs="Calibri"/>
                <w:color w:val="000000"/>
                <w:sz w:val="20"/>
                <w:szCs w:val="20"/>
                <w:lang w:eastAsia="en-AU"/>
              </w:rPr>
              <w:fldChar w:fldCharType="end"/>
            </w:r>
          </w:p>
        </w:tc>
        <w:tc>
          <w:tcPr>
            <w:tcW w:w="1049"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Alcohol Intake (SQ)</w:t>
            </w:r>
          </w:p>
        </w:tc>
        <w:tc>
          <w:tcPr>
            <w:tcW w:w="1082"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DF</w:t>
            </w:r>
          </w:p>
        </w:tc>
        <w:tc>
          <w:tcPr>
            <w:tcW w:w="1274"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1,074</w:t>
            </w:r>
          </w:p>
        </w:tc>
        <w:tc>
          <w:tcPr>
            <w:tcW w:w="132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60.0 -90.0</w:t>
            </w:r>
          </w:p>
        </w:tc>
        <w:tc>
          <w:tcPr>
            <w:tcW w:w="1418"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72.0</w:t>
            </w:r>
          </w:p>
        </w:tc>
        <w:tc>
          <w:tcPr>
            <w:tcW w:w="1417"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7.0</w:t>
            </w:r>
          </w:p>
        </w:tc>
        <w:tc>
          <w:tcPr>
            <w:tcW w:w="5760" w:type="dxa"/>
            <w:tcBorders>
              <w:top w:val="nil"/>
              <w:left w:val="nil"/>
              <w:bottom w:val="nil"/>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r>
            <w:r w:rsidRPr="00B54A75">
              <w:rPr>
                <w:rFonts w:ascii="Calibri" w:eastAsia="Times New Roman" w:hAnsi="Calibri" w:cs="Calibri"/>
                <w:color w:val="000000"/>
                <w:sz w:val="20"/>
                <w:szCs w:val="20"/>
                <w:u w:val="single"/>
                <w:lang w:eastAsia="en-AU"/>
              </w:rPr>
              <w:t>Light alcohol intake</w:t>
            </w:r>
            <w:r w:rsidRPr="00B54A75">
              <w:rPr>
                <w:rFonts w:ascii="Calibri" w:eastAsia="Times New Roman" w:hAnsi="Calibri" w:cs="Calibri"/>
                <w:color w:val="000000"/>
                <w:sz w:val="20"/>
                <w:szCs w:val="20"/>
                <w:lang w:eastAsia="en-AU"/>
              </w:rPr>
              <w:t xml:space="preserve"> (compared to abstinence or heavy consumption) associated with:</w:t>
            </w:r>
            <w:r w:rsidRPr="00B54A75">
              <w:rPr>
                <w:rFonts w:ascii="Calibri" w:eastAsia="Times New Roman" w:hAnsi="Calibri" w:cs="Calibri"/>
                <w:color w:val="000000"/>
                <w:sz w:val="20"/>
                <w:szCs w:val="20"/>
                <w:lang w:eastAsia="en-AU"/>
              </w:rPr>
              <w:br/>
              <w:t xml:space="preserve">             ↓ </w:t>
            </w:r>
            <w:r w:rsidR="0075779A" w:rsidRPr="00B54A75">
              <w:rPr>
                <w:rFonts w:ascii="Calibri" w:eastAsia="Times New Roman" w:hAnsi="Calibri" w:cs="Calibri"/>
                <w:color w:val="000000"/>
                <w:sz w:val="20"/>
                <w:szCs w:val="20"/>
                <w:lang w:eastAsia="en-AU"/>
              </w:rPr>
              <w:t>S</w:t>
            </w:r>
            <w:r w:rsidRPr="00B54A75">
              <w:rPr>
                <w:rFonts w:ascii="Calibri" w:eastAsia="Times New Roman" w:hAnsi="Calibri" w:cs="Calibri"/>
                <w:color w:val="000000"/>
                <w:sz w:val="20"/>
                <w:szCs w:val="20"/>
                <w:lang w:eastAsia="en-AU"/>
              </w:rPr>
              <w:t xml:space="preserve">everity of </w:t>
            </w:r>
            <w:proofErr w:type="spellStart"/>
            <w:r w:rsidRPr="00B54A75">
              <w:rPr>
                <w:rFonts w:ascii="Calibri" w:eastAsia="Times New Roman" w:hAnsi="Calibri" w:cs="Calibri"/>
                <w:color w:val="000000"/>
                <w:sz w:val="20"/>
                <w:szCs w:val="20"/>
                <w:lang w:eastAsia="en-AU"/>
              </w:rPr>
              <w:t>pvWML</w:t>
            </w:r>
            <w:proofErr w:type="spellEnd"/>
            <w:r w:rsidRPr="00B54A75">
              <w:rPr>
                <w:rFonts w:ascii="Calibri" w:eastAsia="Times New Roman" w:hAnsi="Calibri" w:cs="Calibri"/>
                <w:color w:val="000000"/>
                <w:sz w:val="20"/>
                <w:szCs w:val="20"/>
                <w:lang w:eastAsia="en-AU"/>
              </w:rPr>
              <w:t xml:space="preserve"> (relative to </w:t>
            </w:r>
            <w:r w:rsidRPr="00B54A75">
              <w:rPr>
                <w:rFonts w:ascii="Calibri" w:eastAsia="Times New Roman" w:hAnsi="Calibri" w:cs="Calibri"/>
                <w:color w:val="000000"/>
                <w:sz w:val="20"/>
                <w:szCs w:val="20"/>
                <w:u w:val="single"/>
                <w:lang w:eastAsia="en-AU"/>
              </w:rPr>
              <w:t>abstinence</w:t>
            </w:r>
            <w:r w:rsidRPr="00B54A75">
              <w:rPr>
                <w:rFonts w:ascii="Calibri" w:eastAsia="Times New Roman" w:hAnsi="Calibri" w:cs="Calibri"/>
                <w:color w:val="000000"/>
                <w:sz w:val="20"/>
                <w:szCs w:val="20"/>
                <w:lang w:eastAsia="en-AU"/>
              </w:rPr>
              <w:t xml:space="preserve"> or </w:t>
            </w:r>
            <w:r w:rsidRPr="00B54A75">
              <w:rPr>
                <w:rFonts w:ascii="Calibri" w:eastAsia="Times New Roman" w:hAnsi="Calibri" w:cs="Calibri"/>
                <w:color w:val="000000"/>
                <w:sz w:val="20"/>
                <w:szCs w:val="20"/>
                <w:u w:val="single"/>
                <w:lang w:eastAsia="en-AU"/>
              </w:rPr>
              <w:t>heavy</w:t>
            </w:r>
            <w:r w:rsidRPr="00B54A75">
              <w:rPr>
                <w:rFonts w:ascii="Calibri" w:eastAsia="Times New Roman" w:hAnsi="Calibri" w:cs="Calibri"/>
                <w:color w:val="000000"/>
                <w:sz w:val="20"/>
                <w:szCs w:val="20"/>
                <w:u w:val="single"/>
                <w:lang w:eastAsia="en-AU"/>
              </w:rPr>
              <w:br/>
            </w:r>
            <w:r w:rsidRPr="00B54A75">
              <w:rPr>
                <w:rFonts w:ascii="Calibri" w:eastAsia="Times New Roman" w:hAnsi="Calibri" w:cs="Calibri"/>
                <w:color w:val="000000"/>
                <w:sz w:val="20"/>
                <w:szCs w:val="20"/>
                <w:lang w:eastAsia="en-AU"/>
              </w:rPr>
              <w:t xml:space="preserve">                  </w:t>
            </w:r>
            <w:r w:rsidRPr="00B54A75">
              <w:rPr>
                <w:rFonts w:ascii="Calibri" w:eastAsia="Times New Roman" w:hAnsi="Calibri" w:cs="Calibri"/>
                <w:color w:val="000000"/>
                <w:sz w:val="20"/>
                <w:szCs w:val="20"/>
                <w:u w:val="single"/>
                <w:lang w:eastAsia="en-AU"/>
              </w:rPr>
              <w:t>intake)</w:t>
            </w:r>
            <w:r w:rsidRPr="00B54A75">
              <w:rPr>
                <w:rFonts w:ascii="Calibri" w:eastAsia="Times New Roman" w:hAnsi="Calibri" w:cs="Calibri"/>
                <w:color w:val="000000"/>
                <w:sz w:val="20"/>
                <w:szCs w:val="20"/>
                <w:u w:val="single"/>
                <w:lang w:eastAsia="en-AU"/>
              </w:rPr>
              <w:br/>
              <w:t>↑ Alcohol intake</w:t>
            </w:r>
            <w:r w:rsidRPr="00B54A75">
              <w:rPr>
                <w:rFonts w:ascii="Calibri" w:eastAsia="Times New Roman" w:hAnsi="Calibri" w:cs="Calibri"/>
                <w:color w:val="000000"/>
                <w:sz w:val="20"/>
                <w:szCs w:val="20"/>
                <w:lang w:eastAsia="en-AU"/>
              </w:rPr>
              <w:t xml:space="preserve"> associated with:</w:t>
            </w:r>
            <w:r w:rsidRPr="00B54A75">
              <w:rPr>
                <w:rFonts w:ascii="Calibri" w:eastAsia="Times New Roman" w:hAnsi="Calibri" w:cs="Calibri"/>
                <w:color w:val="000000"/>
                <w:sz w:val="20"/>
                <w:szCs w:val="20"/>
                <w:lang w:eastAsia="en-AU"/>
              </w:rPr>
              <w:br/>
              <w:t xml:space="preserve">             ↑</w:t>
            </w:r>
            <w:proofErr w:type="spellStart"/>
            <w:r w:rsidRPr="00B54A75">
              <w:rPr>
                <w:rFonts w:ascii="Calibri" w:eastAsia="Times New Roman" w:hAnsi="Calibri" w:cs="Calibri"/>
                <w:color w:val="000000"/>
                <w:sz w:val="20"/>
                <w:szCs w:val="20"/>
                <w:lang w:eastAsia="en-AU"/>
              </w:rPr>
              <w:t>HCv</w:t>
            </w:r>
            <w:proofErr w:type="spellEnd"/>
            <w:r w:rsidRPr="00B54A75">
              <w:rPr>
                <w:rFonts w:ascii="Calibri" w:eastAsia="Times New Roman" w:hAnsi="Calibri" w:cs="Calibri"/>
                <w:color w:val="000000"/>
                <w:sz w:val="20"/>
                <w:szCs w:val="20"/>
                <w:lang w:eastAsia="en-AU"/>
              </w:rPr>
              <w:br/>
              <w:t xml:space="preserve">             ↑ AMYG volume</w:t>
            </w:r>
            <w:r w:rsidRPr="00B54A75">
              <w:rPr>
                <w:rFonts w:ascii="Calibri" w:eastAsia="Times New Roman" w:hAnsi="Calibri" w:cs="Calibri"/>
                <w:color w:val="000000"/>
                <w:sz w:val="20"/>
                <w:szCs w:val="20"/>
                <w:lang w:eastAsia="en-AU"/>
              </w:rPr>
              <w:br/>
              <w:t xml:space="preserve">Association with HC &amp; AMYG volumes only evident in </w:t>
            </w:r>
            <w:r w:rsidRPr="00B54A75">
              <w:rPr>
                <w:rFonts w:ascii="Calibri" w:eastAsia="Times New Roman" w:hAnsi="Calibri" w:cs="Calibri"/>
                <w:iCs/>
                <w:color w:val="000000"/>
                <w:sz w:val="20"/>
                <w:szCs w:val="20"/>
                <w:lang w:eastAsia="en-AU"/>
              </w:rPr>
              <w:t xml:space="preserve">APOE </w:t>
            </w:r>
            <w:r w:rsidRPr="00B54A75">
              <w:rPr>
                <w:rFonts w:ascii="Calibri" w:eastAsia="Times New Roman" w:hAnsi="Calibri" w:cs="Calibri"/>
                <w:color w:val="000000"/>
                <w:sz w:val="20"/>
                <w:szCs w:val="20"/>
                <w:lang w:eastAsia="en-AU"/>
              </w:rPr>
              <w:t>ε4 allele carriers</w:t>
            </w:r>
          </w:p>
        </w:tc>
      </w:tr>
      <w:tr w:rsidR="009321E8" w:rsidRPr="00B54A75" w:rsidTr="00222F25">
        <w:trPr>
          <w:trHeight w:val="330"/>
        </w:trPr>
        <w:tc>
          <w:tcPr>
            <w:tcW w:w="184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r w:rsidRPr="00B54A75">
              <w:rPr>
                <w:rFonts w:ascii="Calibri" w:eastAsia="Times New Roman" w:hAnsi="Calibri" w:cs="Calibri"/>
                <w:b/>
                <w:bCs/>
                <w:iCs/>
                <w:color w:val="000000"/>
                <w:sz w:val="20"/>
                <w:szCs w:val="20"/>
                <w:lang w:eastAsia="en-AU"/>
              </w:rPr>
              <w:t>Fish Intake</w:t>
            </w:r>
          </w:p>
        </w:tc>
        <w:tc>
          <w:tcPr>
            <w:tcW w:w="1049"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Calibri" w:eastAsia="Times New Roman" w:hAnsi="Calibri" w:cs="Calibri"/>
                <w:b/>
                <w:bCs/>
                <w:iCs/>
                <w:color w:val="000000"/>
                <w:sz w:val="20"/>
                <w:szCs w:val="20"/>
                <w:lang w:eastAsia="en-AU"/>
              </w:rPr>
            </w:pPr>
          </w:p>
        </w:tc>
        <w:tc>
          <w:tcPr>
            <w:tcW w:w="1082"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274"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32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8"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1417"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c>
          <w:tcPr>
            <w:tcW w:w="5760" w:type="dxa"/>
            <w:tcBorders>
              <w:top w:val="nil"/>
              <w:left w:val="nil"/>
              <w:bottom w:val="nil"/>
              <w:right w:val="nil"/>
            </w:tcBorders>
            <w:shd w:val="clear" w:color="auto" w:fill="auto"/>
            <w:vAlign w:val="bottom"/>
            <w:hideMark/>
          </w:tcPr>
          <w:p w:rsidR="00112011" w:rsidRPr="00B54A75" w:rsidRDefault="00112011" w:rsidP="00112011">
            <w:pPr>
              <w:spacing w:after="0" w:line="240" w:lineRule="auto"/>
              <w:rPr>
                <w:rFonts w:ascii="Times New Roman" w:eastAsia="Times New Roman" w:hAnsi="Times New Roman" w:cs="Times New Roman"/>
                <w:sz w:val="20"/>
                <w:szCs w:val="20"/>
                <w:lang w:eastAsia="en-AU"/>
              </w:rPr>
            </w:pPr>
          </w:p>
        </w:tc>
      </w:tr>
      <w:tr w:rsidR="008251F9" w:rsidRPr="00B54A75" w:rsidTr="00222F25">
        <w:trPr>
          <w:trHeight w:val="780"/>
        </w:trPr>
        <w:tc>
          <w:tcPr>
            <w:tcW w:w="1840" w:type="dxa"/>
            <w:tcBorders>
              <w:top w:val="nil"/>
              <w:left w:val="nil"/>
              <w:bottom w:val="single" w:sz="4" w:space="0" w:color="auto"/>
              <w:right w:val="nil"/>
            </w:tcBorders>
            <w:shd w:val="clear" w:color="000000" w:fill="D9D9D9"/>
            <w:vAlign w:val="bottom"/>
            <w:hideMark/>
          </w:tcPr>
          <w:p w:rsidR="00112011" w:rsidRPr="00B54A75" w:rsidRDefault="00B54A75" w:rsidP="00C73D5C">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Raji et al.</w:t>
            </w:r>
            <w:r w:rsidR="009321E8" w:rsidRPr="00B54A75">
              <w:rPr>
                <w:rFonts w:ascii="Calibri" w:eastAsia="Times New Roman" w:hAnsi="Calibri" w:cs="Calibri"/>
                <w:color w:val="000000"/>
                <w:sz w:val="20"/>
                <w:szCs w:val="20"/>
                <w:lang w:eastAsia="en-AU"/>
              </w:rPr>
              <w:fldChar w:fldCharType="begin" w:fldLock="1"/>
            </w:r>
            <w:r w:rsidR="00C73D5C">
              <w:rPr>
                <w:rFonts w:ascii="Calibri" w:eastAsia="Times New Roman" w:hAnsi="Calibri" w:cs="Calibri"/>
                <w:color w:val="000000"/>
                <w:sz w:val="20"/>
                <w:szCs w:val="20"/>
                <w:lang w:eastAsia="en-AU"/>
              </w:rPr>
              <w:instrText>ADDIN CSL_CITATION { "citationItems" : [ { "id" : "ITEM-1", "itemData" : { "DOI" : "10.1016/j.amepre.2014.05.037", "ISSN" : "1873-2607", "PMID" : "25084680", "abstract" : "BACKGROUND: Brain health may be affected by modifiable lifestyle factors; consuming fish and antioxidative omega-3 fatty acids may reduce brain structural abnormality risk. PURPOSE: To determine whether dietary fish consumption is related to brain structural integrity among cognitively normal elders. METHODS: Data were analyzed from 260 cognitively normal individuals from the Cardiovascular Health Study with information on fish consumption from the National Cancer Institute Food Frequency Questionnaire and brain magnetic resonance imaging (MRI). The relationship between fish consumption data collected in 1989-1990 and brain structural MRI obtained in 1998-1999 was assessed using voxel-based morphometry in multiple regression analyses in 2012. Covariates were age, gender, race, education, white matter lesions, MRI-identified infarcts, waist-hip ratio, and physical activity as assessed by the number of city blocks walked in 1 week. Volumetric changes were further modeled with omega-3 fatty acid estimates to better understand the mechanistic link between fish consumption, brain health, and Alzheimer disease. RESULTS: Weekly consumption of baked or broiled fish was positively associated with gray matter volumes in the hippocampus, precuneus, posterior cingulate, and orbital frontal cortex even after adjusting for covariates. These results did not change when including omega-3 fatty acid estimates in the analysis. CONCLUSIONS: Dietary consumption of baked or broiled fish is related to larger gray matter volumes independent of omega-3 fatty acid content. These findings suggest that a confluence of lifestyle factors influence brain health, adding to the growing body of evidence that prevention strategies for late-life brain health need to begin decades earlier.", "author" : [ { "dropping-particle" : "", "family" : "Raji", "given" : "Cyrus A", "non-dropping-particle" : "", "parse-names" : false, "suffix" : "" }, { "dropping-particle" : "", "family" : "Erickson", "given" : "Kirk I", "non-dropping-particle" : "", "parse-names" : false, "suffix" : "" }, { "dropping-particle" : "", "family" : "Lopez", "given" : "Oscar L", "non-dropping-particle" : "", "parse-names" : false, "suffix" : "" }, { "dropping-particle" : "", "family" : "Kuller", "given" : "Lewis H", "non-dropping-particle" : "", "parse-names" : false, "suffix" : "" }, { "dropping-particle" : "", "family" : "Gach", "given" : "H Michael", "non-dropping-particle" : "", "parse-names" : false, "suffix" : "" }, { "dropping-particle" : "", "family" : "Thompson", "given" : "Paul M", "non-dropping-particle" : "", "parse-names" : false, "suffix" : "" }, { "dropping-particle" : "", "family" : "Riverol", "given" : "Mario", "non-dropping-particle" : "", "parse-names" : false, "suffix" : "" }, { "dropping-particle" : "", "family" : "Becker", "given" : "James T", "non-dropping-particle" : "", "parse-names" : false, "suffix" : "" } ], "container-title" : "American Journal of Preventative Medicine", "id" : "ITEM-1", "issued" : { "date-parts" : [ [ "2014", "10" ] ] }, "page" : "444-451", "publisher" : "Elsevier", "title" : "Regular fish consumption and age-related brain gray matter loss", "type" : "article-journal", "volume" : "47" }, "uris" : [ "http://www.mendeley.com/documents/?uuid=259e03cd-0799-457e-b8d5-7b66f94f5e17" ] } ], "mendeley" : { "formattedCitation" : "&lt;sup&gt;(50)&lt;/sup&gt;", "plainTextFormattedCitation" : "(50)", "previouslyFormattedCitation" : "&lt;sup&gt;(50)&lt;/sup&gt;" }, "properties" : { "noteIndex" : 0 }, "schema" : "https://github.com/citation-style-language/schema/raw/master/csl-citation.json" }</w:instrText>
            </w:r>
            <w:r w:rsidR="009321E8" w:rsidRPr="00B54A75">
              <w:rPr>
                <w:rFonts w:ascii="Calibri" w:eastAsia="Times New Roman" w:hAnsi="Calibri" w:cs="Calibri"/>
                <w:color w:val="000000"/>
                <w:sz w:val="20"/>
                <w:szCs w:val="20"/>
                <w:lang w:eastAsia="en-AU"/>
              </w:rPr>
              <w:fldChar w:fldCharType="separate"/>
            </w:r>
            <w:r w:rsidR="00C73D5C" w:rsidRPr="00C73D5C">
              <w:rPr>
                <w:rFonts w:ascii="Calibri" w:eastAsia="Times New Roman" w:hAnsi="Calibri" w:cs="Calibri"/>
                <w:noProof/>
                <w:color w:val="000000"/>
                <w:sz w:val="20"/>
                <w:szCs w:val="20"/>
                <w:vertAlign w:val="superscript"/>
                <w:lang w:eastAsia="en-AU"/>
              </w:rPr>
              <w:t>(50)</w:t>
            </w:r>
            <w:r w:rsidR="009321E8" w:rsidRPr="00B54A75">
              <w:rPr>
                <w:rFonts w:ascii="Calibri" w:eastAsia="Times New Roman" w:hAnsi="Calibri" w:cs="Calibri"/>
                <w:color w:val="000000"/>
                <w:sz w:val="20"/>
                <w:szCs w:val="20"/>
                <w:lang w:eastAsia="en-AU"/>
              </w:rPr>
              <w:fldChar w:fldCharType="end"/>
            </w:r>
          </w:p>
        </w:tc>
        <w:tc>
          <w:tcPr>
            <w:tcW w:w="1049" w:type="dxa"/>
            <w:tcBorders>
              <w:top w:val="nil"/>
              <w:left w:val="nil"/>
              <w:bottom w:val="single" w:sz="4" w:space="0" w:color="auto"/>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Fish Intake (FFQ)</w:t>
            </w:r>
          </w:p>
        </w:tc>
        <w:tc>
          <w:tcPr>
            <w:tcW w:w="1082" w:type="dxa"/>
            <w:tcBorders>
              <w:top w:val="nil"/>
              <w:left w:val="nil"/>
              <w:bottom w:val="single" w:sz="4" w:space="0" w:color="auto"/>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CN</w:t>
            </w:r>
          </w:p>
        </w:tc>
        <w:tc>
          <w:tcPr>
            <w:tcW w:w="1274" w:type="dxa"/>
            <w:tcBorders>
              <w:top w:val="nil"/>
              <w:left w:val="nil"/>
              <w:bottom w:val="single" w:sz="4" w:space="0" w:color="auto"/>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163 (FFC)</w:t>
            </w:r>
            <w:r w:rsidRPr="00B54A75">
              <w:rPr>
                <w:rFonts w:ascii="Calibri" w:eastAsia="Times New Roman" w:hAnsi="Calibri" w:cs="Calibri"/>
                <w:color w:val="000000"/>
                <w:sz w:val="20"/>
                <w:szCs w:val="20"/>
                <w:lang w:eastAsia="en-AU"/>
              </w:rPr>
              <w:br/>
              <w:t>97 (inf-FC)</w:t>
            </w:r>
          </w:p>
        </w:tc>
        <w:tc>
          <w:tcPr>
            <w:tcW w:w="1328" w:type="dxa"/>
            <w:tcBorders>
              <w:top w:val="nil"/>
              <w:left w:val="nil"/>
              <w:bottom w:val="single" w:sz="4" w:space="0" w:color="auto"/>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NR</w:t>
            </w:r>
          </w:p>
        </w:tc>
        <w:tc>
          <w:tcPr>
            <w:tcW w:w="1418" w:type="dxa"/>
            <w:tcBorders>
              <w:top w:val="nil"/>
              <w:left w:val="nil"/>
              <w:bottom w:val="single" w:sz="4" w:space="0" w:color="auto"/>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78.30 (FFC)</w:t>
            </w:r>
            <w:r w:rsidRPr="00B54A75">
              <w:rPr>
                <w:rFonts w:ascii="Calibri" w:eastAsia="Times New Roman" w:hAnsi="Calibri" w:cs="Calibri"/>
                <w:color w:val="000000"/>
                <w:sz w:val="20"/>
                <w:szCs w:val="20"/>
                <w:lang w:eastAsia="en-AU"/>
              </w:rPr>
              <w:br/>
              <w:t>78.40 (inf-FC)</w:t>
            </w:r>
          </w:p>
        </w:tc>
        <w:tc>
          <w:tcPr>
            <w:tcW w:w="1417" w:type="dxa"/>
            <w:tcBorders>
              <w:top w:val="nil"/>
              <w:left w:val="nil"/>
              <w:bottom w:val="single" w:sz="4" w:space="0" w:color="auto"/>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color w:val="000000"/>
                <w:sz w:val="20"/>
                <w:szCs w:val="20"/>
                <w:lang w:eastAsia="en-AU"/>
              </w:rPr>
            </w:pPr>
            <w:r w:rsidRPr="00B54A75">
              <w:rPr>
                <w:rFonts w:ascii="Calibri" w:eastAsia="Times New Roman" w:hAnsi="Calibri" w:cs="Calibri"/>
                <w:color w:val="000000"/>
                <w:sz w:val="20"/>
                <w:szCs w:val="20"/>
                <w:lang w:eastAsia="en-AU"/>
              </w:rPr>
              <w:t>3.54 (FFC)</w:t>
            </w:r>
            <w:r w:rsidRPr="00B54A75">
              <w:rPr>
                <w:rFonts w:ascii="Calibri" w:eastAsia="Times New Roman" w:hAnsi="Calibri" w:cs="Calibri"/>
                <w:color w:val="000000"/>
                <w:sz w:val="20"/>
                <w:szCs w:val="20"/>
                <w:lang w:eastAsia="en-AU"/>
              </w:rPr>
              <w:br/>
              <w:t>3.31 (inf-FC)</w:t>
            </w:r>
          </w:p>
        </w:tc>
        <w:tc>
          <w:tcPr>
            <w:tcW w:w="5760" w:type="dxa"/>
            <w:tcBorders>
              <w:top w:val="nil"/>
              <w:left w:val="nil"/>
              <w:bottom w:val="single" w:sz="4" w:space="0" w:color="auto"/>
              <w:right w:val="nil"/>
            </w:tcBorders>
            <w:shd w:val="clear" w:color="000000" w:fill="D9D9D9"/>
            <w:vAlign w:val="bottom"/>
            <w:hideMark/>
          </w:tcPr>
          <w:p w:rsidR="00112011" w:rsidRPr="00B54A75" w:rsidRDefault="00112011" w:rsidP="00112011">
            <w:pPr>
              <w:spacing w:after="0" w:line="240" w:lineRule="auto"/>
              <w:rPr>
                <w:rFonts w:ascii="Calibri" w:eastAsia="Times New Roman" w:hAnsi="Calibri" w:cs="Calibri"/>
                <w:b/>
                <w:bCs/>
                <w:color w:val="000000"/>
                <w:sz w:val="20"/>
                <w:szCs w:val="20"/>
                <w:lang w:eastAsia="en-AU"/>
              </w:rPr>
            </w:pPr>
            <w:r w:rsidRPr="00B54A75">
              <w:rPr>
                <w:rFonts w:ascii="Calibri" w:eastAsia="Times New Roman" w:hAnsi="Calibri" w:cs="Calibri"/>
                <w:b/>
                <w:bCs/>
                <w:iCs/>
                <w:color w:val="000000"/>
                <w:sz w:val="20"/>
                <w:szCs w:val="20"/>
                <w:lang w:eastAsia="en-AU"/>
              </w:rPr>
              <w:t>Cross sectional</w:t>
            </w:r>
            <w:r w:rsidRPr="00B54A75">
              <w:rPr>
                <w:rFonts w:ascii="Calibri" w:eastAsia="Times New Roman" w:hAnsi="Calibri" w:cs="Calibri"/>
                <w:b/>
                <w:bCs/>
                <w:color w:val="000000"/>
                <w:sz w:val="20"/>
                <w:szCs w:val="20"/>
                <w:lang w:eastAsia="en-AU"/>
              </w:rPr>
              <w:t xml:space="preserve"> (MRI)</w:t>
            </w:r>
            <w:r w:rsidRPr="00B54A75">
              <w:rPr>
                <w:rFonts w:ascii="Calibri" w:eastAsia="Times New Roman" w:hAnsi="Calibri" w:cs="Calibri"/>
                <w:color w:val="000000"/>
                <w:sz w:val="20"/>
                <w:szCs w:val="20"/>
                <w:lang w:eastAsia="en-AU"/>
              </w:rPr>
              <w:br/>
              <w:t xml:space="preserve">↑ </w:t>
            </w:r>
            <w:r w:rsidRPr="00B54A75">
              <w:rPr>
                <w:rFonts w:ascii="Calibri" w:eastAsia="Times New Roman" w:hAnsi="Calibri" w:cs="Calibri"/>
                <w:color w:val="000000"/>
                <w:sz w:val="20"/>
                <w:szCs w:val="20"/>
                <w:u w:val="single"/>
                <w:lang w:eastAsia="en-AU"/>
              </w:rPr>
              <w:t>Weekly fish intake</w:t>
            </w:r>
            <w:r w:rsidRPr="00B54A75">
              <w:rPr>
                <w:rFonts w:ascii="Calibri" w:eastAsia="Times New Roman" w:hAnsi="Calibri" w:cs="Calibri"/>
                <w:color w:val="000000"/>
                <w:sz w:val="20"/>
                <w:szCs w:val="20"/>
                <w:lang w:eastAsia="en-AU"/>
              </w:rPr>
              <w:t xml:space="preserve"> associated with:</w:t>
            </w:r>
            <w:r w:rsidRPr="00B54A75">
              <w:rPr>
                <w:rFonts w:ascii="Calibri" w:eastAsia="Times New Roman" w:hAnsi="Calibri" w:cs="Calibri"/>
                <w:color w:val="000000"/>
                <w:sz w:val="20"/>
                <w:szCs w:val="20"/>
                <w:lang w:eastAsia="en-AU"/>
              </w:rPr>
              <w:br/>
              <w:t xml:space="preserve">             ↑ </w:t>
            </w:r>
            <w:proofErr w:type="spellStart"/>
            <w:r w:rsidRPr="00B54A75">
              <w:rPr>
                <w:rFonts w:ascii="Calibri" w:eastAsia="Times New Roman" w:hAnsi="Calibri" w:cs="Calibri"/>
                <w:color w:val="000000"/>
                <w:sz w:val="20"/>
                <w:szCs w:val="20"/>
                <w:lang w:eastAsia="en-AU"/>
              </w:rPr>
              <w:t>GMv</w:t>
            </w:r>
            <w:proofErr w:type="spellEnd"/>
            <w:r w:rsidRPr="00B54A75">
              <w:rPr>
                <w:rFonts w:ascii="Calibri" w:eastAsia="Times New Roman" w:hAnsi="Calibri" w:cs="Calibri"/>
                <w:color w:val="000000"/>
                <w:sz w:val="20"/>
                <w:szCs w:val="20"/>
                <w:lang w:eastAsia="en-AU"/>
              </w:rPr>
              <w:t xml:space="preserve"> in HC, </w:t>
            </w:r>
            <w:proofErr w:type="spellStart"/>
            <w:r w:rsidRPr="00B54A75">
              <w:rPr>
                <w:rFonts w:ascii="Calibri" w:eastAsia="Times New Roman" w:hAnsi="Calibri" w:cs="Calibri"/>
                <w:color w:val="000000"/>
                <w:sz w:val="20"/>
                <w:szCs w:val="20"/>
                <w:lang w:eastAsia="en-AU"/>
              </w:rPr>
              <w:t>preC</w:t>
            </w:r>
            <w:proofErr w:type="spellEnd"/>
            <w:r w:rsidRPr="00B54A75">
              <w:rPr>
                <w:rFonts w:ascii="Calibri" w:eastAsia="Times New Roman" w:hAnsi="Calibri" w:cs="Calibri"/>
                <w:color w:val="000000"/>
                <w:sz w:val="20"/>
                <w:szCs w:val="20"/>
                <w:lang w:eastAsia="en-AU"/>
              </w:rPr>
              <w:t xml:space="preserve">, </w:t>
            </w:r>
            <w:proofErr w:type="spellStart"/>
            <w:r w:rsidRPr="00B54A75">
              <w:rPr>
                <w:rFonts w:ascii="Calibri" w:eastAsia="Times New Roman" w:hAnsi="Calibri" w:cs="Calibri"/>
                <w:color w:val="000000"/>
                <w:sz w:val="20"/>
                <w:szCs w:val="20"/>
                <w:lang w:eastAsia="en-AU"/>
              </w:rPr>
              <w:t>poCingC</w:t>
            </w:r>
            <w:proofErr w:type="spellEnd"/>
            <w:r w:rsidRPr="00B54A75">
              <w:rPr>
                <w:rFonts w:ascii="Calibri" w:eastAsia="Times New Roman" w:hAnsi="Calibri" w:cs="Calibri"/>
                <w:color w:val="000000"/>
                <w:sz w:val="20"/>
                <w:szCs w:val="20"/>
                <w:lang w:eastAsia="en-AU"/>
              </w:rPr>
              <w:t xml:space="preserve">, &amp; OFC.  </w:t>
            </w:r>
          </w:p>
        </w:tc>
      </w:tr>
    </w:tbl>
    <w:p w:rsidR="00546FE4" w:rsidRPr="00B54A75" w:rsidRDefault="00546FE4" w:rsidP="006F2F0B">
      <w:pPr>
        <w:rPr>
          <w:b/>
        </w:rPr>
      </w:pPr>
    </w:p>
    <w:p w:rsidR="00E25240" w:rsidRPr="00303DDA" w:rsidRDefault="00A71108" w:rsidP="006F2F0B">
      <w:r w:rsidRPr="00B54A75">
        <w:rPr>
          <w:b/>
        </w:rPr>
        <w:lastRenderedPageBreak/>
        <w:t xml:space="preserve">Note: </w:t>
      </w:r>
      <w:r w:rsidRPr="00B54A75">
        <w:t>Studies presented in reverse chronological order and</w:t>
      </w:r>
      <w:r w:rsidR="004E3570" w:rsidRPr="00B54A75">
        <w:t xml:space="preserve"> organised</w:t>
      </w:r>
      <w:r w:rsidRPr="00B54A75">
        <w:t xml:space="preserve"> by nutrient or diet type. </w:t>
      </w:r>
      <w:r w:rsidR="00991863" w:rsidRPr="00B54A75">
        <w:rPr>
          <w:b/>
        </w:rPr>
        <w:t>Abbreviations</w:t>
      </w:r>
      <w:r w:rsidR="00991863" w:rsidRPr="00B54A75">
        <w:t xml:space="preserve">: </w:t>
      </w:r>
      <w:proofErr w:type="spellStart"/>
      <w:r w:rsidR="008543A2" w:rsidRPr="00B54A75">
        <w:rPr>
          <w:b/>
        </w:rPr>
        <w:t>HcY</w:t>
      </w:r>
      <w:proofErr w:type="spellEnd"/>
      <w:r w:rsidR="008543A2" w:rsidRPr="00B54A75">
        <w:t>, Homocysteine;</w:t>
      </w:r>
      <w:r w:rsidR="00991863" w:rsidRPr="00B54A75">
        <w:t xml:space="preserve"> </w:t>
      </w:r>
      <w:r w:rsidR="00A47F57" w:rsidRPr="00B54A75">
        <w:rPr>
          <w:b/>
        </w:rPr>
        <w:t>DF</w:t>
      </w:r>
      <w:r w:rsidR="00A47F57" w:rsidRPr="00B54A75">
        <w:t>, d</w:t>
      </w:r>
      <w:r w:rsidR="008543A2" w:rsidRPr="00B54A75">
        <w:t xml:space="preserve">ementia </w:t>
      </w:r>
      <w:r w:rsidR="00BF1B42" w:rsidRPr="00B54A75">
        <w:t>f</w:t>
      </w:r>
      <w:r w:rsidR="008543A2" w:rsidRPr="00B54A75">
        <w:t>ree;</w:t>
      </w:r>
      <w:r w:rsidR="00991863" w:rsidRPr="00B54A75">
        <w:t xml:space="preserve"> </w:t>
      </w:r>
      <w:r w:rsidR="00A47F57" w:rsidRPr="00B54A75">
        <w:rPr>
          <w:b/>
        </w:rPr>
        <w:t>MRI</w:t>
      </w:r>
      <w:r w:rsidR="00A47F57" w:rsidRPr="00B54A75">
        <w:t>, magnetic resonance i</w:t>
      </w:r>
      <w:r w:rsidR="008543A2" w:rsidRPr="00B54A75">
        <w:t>maging;</w:t>
      </w:r>
      <w:r w:rsidR="00991863" w:rsidRPr="00B54A75">
        <w:t xml:space="preserve"> </w:t>
      </w:r>
      <w:proofErr w:type="spellStart"/>
      <w:r w:rsidR="00A47F57" w:rsidRPr="00B54A75">
        <w:rPr>
          <w:b/>
        </w:rPr>
        <w:t>WMv</w:t>
      </w:r>
      <w:proofErr w:type="spellEnd"/>
      <w:r w:rsidR="00A47F57" w:rsidRPr="00B54A75">
        <w:t>, white matter v</w:t>
      </w:r>
      <w:r w:rsidR="008543A2" w:rsidRPr="00B54A75">
        <w:t>olume;</w:t>
      </w:r>
      <w:r w:rsidR="00991863" w:rsidRPr="00B54A75">
        <w:t xml:space="preserve"> </w:t>
      </w:r>
      <w:r w:rsidR="00A47F57" w:rsidRPr="00B54A75">
        <w:rPr>
          <w:b/>
        </w:rPr>
        <w:t>FL</w:t>
      </w:r>
      <w:r w:rsidR="00A47F57" w:rsidRPr="00B54A75">
        <w:t>, frontal l</w:t>
      </w:r>
      <w:r w:rsidR="007C0329" w:rsidRPr="00B54A75">
        <w:t>obe;</w:t>
      </w:r>
      <w:r w:rsidR="00991863" w:rsidRPr="00B54A75">
        <w:t xml:space="preserve"> </w:t>
      </w:r>
      <w:r w:rsidR="00A47F57" w:rsidRPr="00B54A75">
        <w:rPr>
          <w:b/>
        </w:rPr>
        <w:t>PL</w:t>
      </w:r>
      <w:r w:rsidR="00A47F57" w:rsidRPr="00B54A75">
        <w:t>, parietal l</w:t>
      </w:r>
      <w:r w:rsidR="007C0329" w:rsidRPr="00B54A75">
        <w:t>obe;</w:t>
      </w:r>
      <w:r w:rsidR="00991863" w:rsidRPr="00B54A75">
        <w:t xml:space="preserve"> </w:t>
      </w:r>
      <w:r w:rsidR="00A47F57" w:rsidRPr="00B54A75">
        <w:rPr>
          <w:b/>
        </w:rPr>
        <w:t>TL</w:t>
      </w:r>
      <w:r w:rsidR="00A47F57" w:rsidRPr="00B54A75">
        <w:t>, temporal l</w:t>
      </w:r>
      <w:r w:rsidR="007C0329" w:rsidRPr="00B54A75">
        <w:t>obe;</w:t>
      </w:r>
      <w:r w:rsidR="00991863" w:rsidRPr="00B54A75">
        <w:t xml:space="preserve"> </w:t>
      </w:r>
      <w:r w:rsidR="00A47F57" w:rsidRPr="00B54A75">
        <w:rPr>
          <w:b/>
        </w:rPr>
        <w:t>CT</w:t>
      </w:r>
      <w:r w:rsidR="00A47F57" w:rsidRPr="00B54A75">
        <w:t>, cortical t</w:t>
      </w:r>
      <w:r w:rsidR="007C0329" w:rsidRPr="00B54A75">
        <w:t>hickness;</w:t>
      </w:r>
      <w:r w:rsidR="00991863" w:rsidRPr="00B54A75">
        <w:t xml:space="preserve"> </w:t>
      </w:r>
      <w:r w:rsidR="008A7ACA" w:rsidRPr="00B54A75">
        <w:rPr>
          <w:b/>
        </w:rPr>
        <w:t>VIT-</w:t>
      </w:r>
      <w:r w:rsidR="009459D2" w:rsidRPr="00B54A75">
        <w:rPr>
          <w:b/>
        </w:rPr>
        <w:t>B</w:t>
      </w:r>
      <w:r w:rsidR="009459D2" w:rsidRPr="00B54A75">
        <w:rPr>
          <w:b/>
          <w:vertAlign w:val="subscript"/>
        </w:rPr>
        <w:t>12</w:t>
      </w:r>
      <w:r w:rsidR="00A47F57" w:rsidRPr="00B54A75">
        <w:t>, v</w:t>
      </w:r>
      <w:r w:rsidR="007C0329" w:rsidRPr="00B54A75">
        <w:t>itamin</w:t>
      </w:r>
      <w:r w:rsidR="009459D2" w:rsidRPr="00B54A75">
        <w:t xml:space="preserve"> B12</w:t>
      </w:r>
      <w:r w:rsidR="007C0329" w:rsidRPr="00B54A75">
        <w:t>;</w:t>
      </w:r>
      <w:r w:rsidR="00991863" w:rsidRPr="00B54A75">
        <w:t xml:space="preserve"> </w:t>
      </w:r>
      <w:r w:rsidR="00A47F57" w:rsidRPr="00B54A75">
        <w:rPr>
          <w:b/>
        </w:rPr>
        <w:t>MCI</w:t>
      </w:r>
      <w:r w:rsidR="00A47F57" w:rsidRPr="00B54A75">
        <w:t>, mild cognitive i</w:t>
      </w:r>
      <w:r w:rsidR="007C0329" w:rsidRPr="00B54A75">
        <w:t>mpairment;</w:t>
      </w:r>
      <w:r w:rsidR="00991863" w:rsidRPr="00B54A75">
        <w:t xml:space="preserve"> </w:t>
      </w:r>
      <w:r w:rsidR="00A47F57" w:rsidRPr="00B54A75">
        <w:rPr>
          <w:b/>
        </w:rPr>
        <w:t>DTI</w:t>
      </w:r>
      <w:r w:rsidR="00A47F57" w:rsidRPr="00B54A75">
        <w:t>, diffusion tensor i</w:t>
      </w:r>
      <w:r w:rsidR="007C0329" w:rsidRPr="00B54A75">
        <w:t>maging;</w:t>
      </w:r>
      <w:r w:rsidR="00991863" w:rsidRPr="00B54A75">
        <w:t xml:space="preserve"> </w:t>
      </w:r>
      <w:r w:rsidR="00A47F57" w:rsidRPr="00B54A75">
        <w:rPr>
          <w:b/>
        </w:rPr>
        <w:t>HC</w:t>
      </w:r>
      <w:r w:rsidR="00A47F57" w:rsidRPr="00B54A75">
        <w:t>, h</w:t>
      </w:r>
      <w:r w:rsidR="007C0329" w:rsidRPr="00B54A75">
        <w:t>ippocampus;</w:t>
      </w:r>
      <w:r w:rsidR="00991863" w:rsidRPr="00B54A75">
        <w:t xml:space="preserve"> </w:t>
      </w:r>
      <w:r w:rsidR="00991863" w:rsidRPr="00B54A75">
        <w:rPr>
          <w:b/>
        </w:rPr>
        <w:t>DG</w:t>
      </w:r>
      <w:r w:rsidR="00991863" w:rsidRPr="00B54A75">
        <w:t>, dentate g</w:t>
      </w:r>
      <w:r w:rsidR="007C0329" w:rsidRPr="00B54A75">
        <w:t>yrus;</w:t>
      </w:r>
      <w:r w:rsidR="00991863" w:rsidRPr="00B54A75">
        <w:t xml:space="preserve"> </w:t>
      </w:r>
      <w:r w:rsidR="00A47F57" w:rsidRPr="00B54A75">
        <w:rPr>
          <w:b/>
        </w:rPr>
        <w:t>CA4</w:t>
      </w:r>
      <w:r w:rsidR="00A47F57" w:rsidRPr="00B54A75">
        <w:t xml:space="preserve">, </w:t>
      </w:r>
      <w:proofErr w:type="spellStart"/>
      <w:r w:rsidR="00A47F57" w:rsidRPr="00B54A75">
        <w:t>cornu</w:t>
      </w:r>
      <w:proofErr w:type="spellEnd"/>
      <w:r w:rsidR="00A47F57" w:rsidRPr="00B54A75">
        <w:t xml:space="preserve"> </w:t>
      </w:r>
      <w:proofErr w:type="spellStart"/>
      <w:r w:rsidR="00A47F57" w:rsidRPr="00B54A75">
        <w:t>a</w:t>
      </w:r>
      <w:r w:rsidR="007C0329" w:rsidRPr="00B54A75">
        <w:t>mmonis</w:t>
      </w:r>
      <w:proofErr w:type="spellEnd"/>
      <w:r w:rsidR="00A47F57" w:rsidRPr="00B54A75">
        <w:t xml:space="preserve"> s</w:t>
      </w:r>
      <w:r w:rsidR="007C0329" w:rsidRPr="00B54A75">
        <w:t>ubfield 4;</w:t>
      </w:r>
      <w:r w:rsidR="00991863" w:rsidRPr="00B54A75">
        <w:t xml:space="preserve"> </w:t>
      </w:r>
      <w:r w:rsidR="00112011" w:rsidRPr="00B54A75">
        <w:rPr>
          <w:b/>
        </w:rPr>
        <w:t>H</w:t>
      </w:r>
      <w:r w:rsidR="00112011" w:rsidRPr="00B54A75">
        <w:t>, healthy;</w:t>
      </w:r>
      <w:r w:rsidR="00083999" w:rsidRPr="00B54A75">
        <w:t xml:space="preserve"> </w:t>
      </w:r>
      <w:r w:rsidR="00112011" w:rsidRPr="00B54A75">
        <w:rPr>
          <w:b/>
        </w:rPr>
        <w:t>WM</w:t>
      </w:r>
      <w:r w:rsidR="00112011" w:rsidRPr="00B54A75">
        <w:t xml:space="preserve">, white matter; </w:t>
      </w:r>
      <w:r w:rsidR="00112011" w:rsidRPr="00B54A75">
        <w:rPr>
          <w:b/>
        </w:rPr>
        <w:t>CC</w:t>
      </w:r>
      <w:r w:rsidR="00112011" w:rsidRPr="00B54A75">
        <w:t xml:space="preserve">, corpus callosum; </w:t>
      </w:r>
      <w:r w:rsidR="007C0329" w:rsidRPr="00B54A75">
        <w:rPr>
          <w:b/>
        </w:rPr>
        <w:t>CN</w:t>
      </w:r>
      <w:r w:rsidR="007C0329" w:rsidRPr="00B54A75">
        <w:t xml:space="preserve">, </w:t>
      </w:r>
      <w:r w:rsidR="00A47F57" w:rsidRPr="00B54A75">
        <w:t>c</w:t>
      </w:r>
      <w:r w:rsidR="007C0329" w:rsidRPr="00B54A75">
        <w:t xml:space="preserve">ognitively </w:t>
      </w:r>
      <w:r w:rsidR="00A47F57" w:rsidRPr="00B54A75">
        <w:t>n</w:t>
      </w:r>
      <w:r w:rsidR="007C0329" w:rsidRPr="00B54A75">
        <w:t>ormal;</w:t>
      </w:r>
      <w:r w:rsidR="00991863" w:rsidRPr="00B54A75">
        <w:t xml:space="preserve"> </w:t>
      </w:r>
      <w:r w:rsidR="00A47F57" w:rsidRPr="00B54A75">
        <w:rPr>
          <w:b/>
        </w:rPr>
        <w:t>AD</w:t>
      </w:r>
      <w:r w:rsidR="00A47F57" w:rsidRPr="00B54A75">
        <w:t xml:space="preserve">, </w:t>
      </w:r>
      <w:proofErr w:type="spellStart"/>
      <w:r w:rsidR="00A47F57" w:rsidRPr="00B54A75">
        <w:t>a</w:t>
      </w:r>
      <w:r w:rsidR="007C0329" w:rsidRPr="00B54A75">
        <w:t>lzheimer’</w:t>
      </w:r>
      <w:r w:rsidR="00A47F57" w:rsidRPr="00B54A75">
        <w:t>s</w:t>
      </w:r>
      <w:proofErr w:type="spellEnd"/>
      <w:r w:rsidR="00A47F57" w:rsidRPr="00B54A75">
        <w:t xml:space="preserve"> d</w:t>
      </w:r>
      <w:r w:rsidR="007C0329" w:rsidRPr="00B54A75">
        <w:t>ementia;</w:t>
      </w:r>
      <w:r w:rsidR="00310374">
        <w:t xml:space="preserve"> </w:t>
      </w:r>
      <w:r w:rsidR="00310374" w:rsidRPr="00310374">
        <w:rPr>
          <w:b/>
        </w:rPr>
        <w:t>NR</w:t>
      </w:r>
      <w:r w:rsidR="00310374">
        <w:t>, not reported;</w:t>
      </w:r>
      <w:r w:rsidR="00991863" w:rsidRPr="00B54A75">
        <w:t xml:space="preserve"> </w:t>
      </w:r>
      <w:proofErr w:type="spellStart"/>
      <w:r w:rsidR="00A47F57" w:rsidRPr="00B54A75">
        <w:rPr>
          <w:b/>
        </w:rPr>
        <w:t>GMv</w:t>
      </w:r>
      <w:proofErr w:type="spellEnd"/>
      <w:r w:rsidR="00A47F57" w:rsidRPr="00B54A75">
        <w:t>, grey matter volu</w:t>
      </w:r>
      <w:r w:rsidR="00097AC7">
        <w:t>me</w:t>
      </w:r>
      <w:r w:rsidR="00BF1B42" w:rsidRPr="00B54A75">
        <w:t>;</w:t>
      </w:r>
      <w:r w:rsidR="00991863" w:rsidRPr="00B54A75">
        <w:t xml:space="preserve"> </w:t>
      </w:r>
      <w:r w:rsidR="00655D70" w:rsidRPr="00B54A75">
        <w:rPr>
          <w:b/>
        </w:rPr>
        <w:t>TC-</w:t>
      </w:r>
      <w:proofErr w:type="spellStart"/>
      <w:r w:rsidR="00655D70" w:rsidRPr="00B54A75">
        <w:rPr>
          <w:b/>
        </w:rPr>
        <w:t>WMv</w:t>
      </w:r>
      <w:proofErr w:type="spellEnd"/>
      <w:r w:rsidR="00655D70" w:rsidRPr="00B54A75">
        <w:t>, tot</w:t>
      </w:r>
      <w:r w:rsidR="001B212C" w:rsidRPr="00B54A75">
        <w:t xml:space="preserve">al cerebral white matter volume; </w:t>
      </w:r>
      <w:proofErr w:type="spellStart"/>
      <w:r w:rsidR="00BF1B42" w:rsidRPr="00B54A75">
        <w:rPr>
          <w:b/>
        </w:rPr>
        <w:t>HHcy</w:t>
      </w:r>
      <w:proofErr w:type="spellEnd"/>
      <w:r w:rsidR="00BF1B42" w:rsidRPr="00B54A75">
        <w:t>, high homocysteine;</w:t>
      </w:r>
      <w:r w:rsidR="00991863" w:rsidRPr="00B54A75">
        <w:t xml:space="preserve"> </w:t>
      </w:r>
      <w:proofErr w:type="spellStart"/>
      <w:r w:rsidR="00BF1B42" w:rsidRPr="00B54A75">
        <w:rPr>
          <w:b/>
        </w:rPr>
        <w:t>LHcY</w:t>
      </w:r>
      <w:proofErr w:type="spellEnd"/>
      <w:r w:rsidR="00BF1B42" w:rsidRPr="00B54A75">
        <w:t>, low homocysteine;</w:t>
      </w:r>
      <w:r w:rsidR="00991863" w:rsidRPr="00B54A75">
        <w:t xml:space="preserve"> </w:t>
      </w:r>
      <w:r w:rsidR="00097AC7" w:rsidRPr="00097AC7">
        <w:rPr>
          <w:b/>
        </w:rPr>
        <w:t>OL</w:t>
      </w:r>
      <w:r w:rsidR="00097AC7">
        <w:t xml:space="preserve">, occipital lobe; </w:t>
      </w:r>
      <w:proofErr w:type="spellStart"/>
      <w:r w:rsidR="00655D70" w:rsidRPr="00B54A75">
        <w:rPr>
          <w:b/>
        </w:rPr>
        <w:t>CrB</w:t>
      </w:r>
      <w:proofErr w:type="spellEnd"/>
      <w:r w:rsidR="00655D70" w:rsidRPr="00B54A75">
        <w:t>, cerebellum,</w:t>
      </w:r>
      <w:r w:rsidR="00991863" w:rsidRPr="00B54A75">
        <w:t xml:space="preserve"> </w:t>
      </w:r>
      <w:proofErr w:type="spellStart"/>
      <w:r w:rsidR="00655D70" w:rsidRPr="00B54A75">
        <w:rPr>
          <w:b/>
        </w:rPr>
        <w:t>WMHv</w:t>
      </w:r>
      <w:proofErr w:type="spellEnd"/>
      <w:r w:rsidR="00655D70" w:rsidRPr="00B54A75">
        <w:t>, whi</w:t>
      </w:r>
      <w:r w:rsidR="00B174DF">
        <w:t>te matter hyperintensity volume</w:t>
      </w:r>
      <w:r w:rsidR="00655D70" w:rsidRPr="00B54A75">
        <w:t>;</w:t>
      </w:r>
      <w:r w:rsidR="00991863" w:rsidRPr="00B54A75">
        <w:t xml:space="preserve"> </w:t>
      </w:r>
      <w:proofErr w:type="spellStart"/>
      <w:r w:rsidR="00655D70" w:rsidRPr="00B54A75">
        <w:rPr>
          <w:b/>
        </w:rPr>
        <w:t>TCar</w:t>
      </w:r>
      <w:proofErr w:type="spellEnd"/>
      <w:r w:rsidR="00655D70" w:rsidRPr="00B54A75">
        <w:t>, total cerebral atrophy rate;</w:t>
      </w:r>
      <w:r w:rsidR="00991863" w:rsidRPr="00B54A75">
        <w:t xml:space="preserve"> </w:t>
      </w:r>
      <w:r w:rsidR="00655D70" w:rsidRPr="00B54A75">
        <w:rPr>
          <w:b/>
        </w:rPr>
        <w:t>WML</w:t>
      </w:r>
      <w:r w:rsidR="00655D70" w:rsidRPr="00B54A75">
        <w:t>, white matter lesion;</w:t>
      </w:r>
      <w:r w:rsidR="00991863" w:rsidRPr="00B54A75">
        <w:t xml:space="preserve"> </w:t>
      </w:r>
      <w:r w:rsidR="00655D70" w:rsidRPr="00B54A75">
        <w:rPr>
          <w:b/>
        </w:rPr>
        <w:t>MMA</w:t>
      </w:r>
      <w:r w:rsidR="00655D70" w:rsidRPr="00B54A75">
        <w:t>, methylmalonic acid;</w:t>
      </w:r>
      <w:r w:rsidR="00991863" w:rsidRPr="00B54A75">
        <w:t xml:space="preserve"> </w:t>
      </w:r>
      <w:proofErr w:type="spellStart"/>
      <w:r w:rsidR="00982877" w:rsidRPr="00B54A75">
        <w:rPr>
          <w:b/>
        </w:rPr>
        <w:t>TCv</w:t>
      </w:r>
      <w:proofErr w:type="spellEnd"/>
      <w:r w:rsidR="00982877" w:rsidRPr="00B54A75">
        <w:t xml:space="preserve">, total cerebral volume; </w:t>
      </w:r>
      <w:proofErr w:type="spellStart"/>
      <w:r w:rsidR="00D723A6" w:rsidRPr="00B54A75">
        <w:rPr>
          <w:b/>
        </w:rPr>
        <w:t>HCv</w:t>
      </w:r>
      <w:proofErr w:type="spellEnd"/>
      <w:r w:rsidR="00D723A6" w:rsidRPr="00B54A75">
        <w:t>; hippocampal volume;</w:t>
      </w:r>
      <w:r w:rsidR="00991863" w:rsidRPr="00B54A75">
        <w:t xml:space="preserve"> </w:t>
      </w:r>
      <w:proofErr w:type="spellStart"/>
      <w:r w:rsidR="001B212C" w:rsidRPr="00B54A75">
        <w:rPr>
          <w:b/>
        </w:rPr>
        <w:t>WMar</w:t>
      </w:r>
      <w:proofErr w:type="spellEnd"/>
      <w:r w:rsidR="001B212C" w:rsidRPr="00B54A75">
        <w:t xml:space="preserve">, white matter atrophy rate; </w:t>
      </w:r>
      <w:proofErr w:type="spellStart"/>
      <w:r w:rsidR="001B212C" w:rsidRPr="00B54A75">
        <w:rPr>
          <w:b/>
        </w:rPr>
        <w:t>HCar</w:t>
      </w:r>
      <w:proofErr w:type="spellEnd"/>
      <w:r w:rsidR="001B212C" w:rsidRPr="00B54A75">
        <w:t xml:space="preserve">, hippocampal atrophy rate; </w:t>
      </w:r>
      <w:proofErr w:type="spellStart"/>
      <w:r w:rsidR="00CE0307" w:rsidRPr="00B54A75">
        <w:rPr>
          <w:b/>
        </w:rPr>
        <w:t>HoloTC</w:t>
      </w:r>
      <w:proofErr w:type="spellEnd"/>
      <w:r w:rsidR="00CE0307" w:rsidRPr="00B54A75">
        <w:t xml:space="preserve">, </w:t>
      </w:r>
      <w:proofErr w:type="spellStart"/>
      <w:r w:rsidR="00CE0307" w:rsidRPr="00B54A75">
        <w:t>holotranscobalamin</w:t>
      </w:r>
      <w:proofErr w:type="spellEnd"/>
      <w:r w:rsidR="00CE0307" w:rsidRPr="00B54A75">
        <w:t>;</w:t>
      </w:r>
      <w:r w:rsidR="00991863" w:rsidRPr="00B54A75">
        <w:t xml:space="preserve"> </w:t>
      </w:r>
      <w:r w:rsidR="00CE0307" w:rsidRPr="00B54A75">
        <w:rPr>
          <w:b/>
        </w:rPr>
        <w:t>TC</w:t>
      </w:r>
      <w:r w:rsidR="008E796A" w:rsidRPr="00B54A75">
        <w:rPr>
          <w:b/>
        </w:rPr>
        <w:t>s</w:t>
      </w:r>
      <w:r w:rsidR="00CE0307" w:rsidRPr="00B54A75">
        <w:t>, transcobalamin saturation;</w:t>
      </w:r>
      <w:r w:rsidR="00991863" w:rsidRPr="00B54A75">
        <w:t xml:space="preserve"> </w:t>
      </w:r>
      <w:proofErr w:type="spellStart"/>
      <w:r w:rsidR="00CE0307" w:rsidRPr="00B54A75">
        <w:rPr>
          <w:b/>
        </w:rPr>
        <w:t>pvWML</w:t>
      </w:r>
      <w:proofErr w:type="spellEnd"/>
      <w:r w:rsidR="00CE0307" w:rsidRPr="00B54A75">
        <w:t>, periventricular white matter lesion;</w:t>
      </w:r>
      <w:r w:rsidR="00991863" w:rsidRPr="00B54A75">
        <w:t xml:space="preserve"> </w:t>
      </w:r>
      <w:proofErr w:type="spellStart"/>
      <w:r w:rsidR="00CE0307" w:rsidRPr="00B54A75">
        <w:rPr>
          <w:b/>
        </w:rPr>
        <w:t>scWML</w:t>
      </w:r>
      <w:proofErr w:type="spellEnd"/>
      <w:r w:rsidR="00CE0307" w:rsidRPr="00B54A75">
        <w:t>, subcortical white matter lesion;</w:t>
      </w:r>
      <w:r w:rsidR="00991863" w:rsidRPr="00B54A75">
        <w:t xml:space="preserve"> </w:t>
      </w:r>
      <w:r w:rsidR="009D795F" w:rsidRPr="00B54A75">
        <w:rPr>
          <w:b/>
        </w:rPr>
        <w:t>VIT-</w:t>
      </w:r>
      <w:r w:rsidR="00A04631" w:rsidRPr="00B54A75">
        <w:rPr>
          <w:b/>
        </w:rPr>
        <w:t>B</w:t>
      </w:r>
      <w:r w:rsidR="00A04631" w:rsidRPr="00B54A75">
        <w:rPr>
          <w:b/>
          <w:vertAlign w:val="subscript"/>
        </w:rPr>
        <w:t>6</w:t>
      </w:r>
      <w:r w:rsidR="00A04631" w:rsidRPr="00B54A75">
        <w:t>, vitamin B6;</w:t>
      </w:r>
      <w:r w:rsidR="00991863" w:rsidRPr="00B54A75">
        <w:t xml:space="preserve"> </w:t>
      </w:r>
      <w:r w:rsidR="00CE0307" w:rsidRPr="00B54A75">
        <w:rPr>
          <w:b/>
        </w:rPr>
        <w:t>3DFD</w:t>
      </w:r>
      <w:r w:rsidR="00CE0307" w:rsidRPr="00B54A75">
        <w:t>, 3-day food diary;</w:t>
      </w:r>
      <w:r w:rsidR="00991863" w:rsidRPr="00B54A75">
        <w:t xml:space="preserve"> </w:t>
      </w:r>
      <w:r w:rsidR="00CE0307" w:rsidRPr="00B54A75">
        <w:rPr>
          <w:b/>
        </w:rPr>
        <w:t>SFC</w:t>
      </w:r>
      <w:r w:rsidR="00CE0307" w:rsidRPr="00B54A75">
        <w:t>, superior frontal cortex;</w:t>
      </w:r>
      <w:r w:rsidR="00991863" w:rsidRPr="00B54A75">
        <w:t xml:space="preserve"> </w:t>
      </w:r>
      <w:r w:rsidR="00CE0307" w:rsidRPr="00B54A75">
        <w:rPr>
          <w:b/>
        </w:rPr>
        <w:t>SMA</w:t>
      </w:r>
      <w:r w:rsidR="00CE0307" w:rsidRPr="00B54A75">
        <w:t>, supplementary motor area;</w:t>
      </w:r>
      <w:r w:rsidR="00991863" w:rsidRPr="00B54A75">
        <w:t xml:space="preserve"> </w:t>
      </w:r>
      <w:r w:rsidR="00CE0307" w:rsidRPr="00B54A75">
        <w:rPr>
          <w:b/>
        </w:rPr>
        <w:t>MPC</w:t>
      </w:r>
      <w:r w:rsidR="00CE0307" w:rsidRPr="00B54A75">
        <w:t>, medial parietal cortex;</w:t>
      </w:r>
      <w:r w:rsidR="00991863" w:rsidRPr="00B54A75">
        <w:t xml:space="preserve"> </w:t>
      </w:r>
      <w:r w:rsidR="00CE0307" w:rsidRPr="00B54A75">
        <w:rPr>
          <w:b/>
        </w:rPr>
        <w:t>MTC</w:t>
      </w:r>
      <w:r w:rsidR="00CE0307" w:rsidRPr="00B54A75">
        <w:t>, middle temporal cortex;</w:t>
      </w:r>
      <w:r w:rsidR="00991863" w:rsidRPr="00B54A75">
        <w:t xml:space="preserve"> </w:t>
      </w:r>
      <w:proofErr w:type="spellStart"/>
      <w:r w:rsidR="00CE0307" w:rsidRPr="00B54A75">
        <w:rPr>
          <w:b/>
        </w:rPr>
        <w:t>aCingC</w:t>
      </w:r>
      <w:proofErr w:type="spellEnd"/>
      <w:r w:rsidR="00CE0307" w:rsidRPr="00B54A75">
        <w:t xml:space="preserve">; anterior cingulate </w:t>
      </w:r>
      <w:r w:rsidR="00991863" w:rsidRPr="00B54A75">
        <w:t>c</w:t>
      </w:r>
      <w:r w:rsidR="00CE0307" w:rsidRPr="00B54A75">
        <w:t>ortex;</w:t>
      </w:r>
      <w:r w:rsidR="00991863" w:rsidRPr="00B54A75">
        <w:t xml:space="preserve"> </w:t>
      </w:r>
      <w:proofErr w:type="spellStart"/>
      <w:r w:rsidR="00CE0307" w:rsidRPr="00B54A75">
        <w:rPr>
          <w:b/>
        </w:rPr>
        <w:t>p</w:t>
      </w:r>
      <w:r w:rsidR="00BD17B8" w:rsidRPr="00B54A75">
        <w:rPr>
          <w:b/>
        </w:rPr>
        <w:t>o</w:t>
      </w:r>
      <w:r w:rsidR="00CE0307" w:rsidRPr="00B54A75">
        <w:rPr>
          <w:b/>
        </w:rPr>
        <w:t>CingC</w:t>
      </w:r>
      <w:proofErr w:type="spellEnd"/>
      <w:r w:rsidR="00CE0307" w:rsidRPr="00B54A75">
        <w:t>, posterior cingulate cortex;</w:t>
      </w:r>
      <w:r w:rsidR="00991863" w:rsidRPr="00B54A75">
        <w:t xml:space="preserve"> </w:t>
      </w:r>
      <w:r w:rsidR="00CE0307" w:rsidRPr="00B54A75">
        <w:rPr>
          <w:b/>
        </w:rPr>
        <w:t>SBI</w:t>
      </w:r>
      <w:r w:rsidR="00CE0307" w:rsidRPr="00B54A75">
        <w:t>, silent brain infarct;</w:t>
      </w:r>
      <w:r w:rsidR="00991863" w:rsidRPr="00B54A75">
        <w:t xml:space="preserve"> </w:t>
      </w:r>
      <w:r w:rsidR="00D723A6" w:rsidRPr="00B54A75">
        <w:rPr>
          <w:b/>
        </w:rPr>
        <w:t>M</w:t>
      </w:r>
      <w:r w:rsidR="00D723A6" w:rsidRPr="00B54A75">
        <w:t>, males;</w:t>
      </w:r>
      <w:r w:rsidR="00991863" w:rsidRPr="00B54A75">
        <w:t xml:space="preserve"> </w:t>
      </w:r>
      <w:r w:rsidR="00D723A6" w:rsidRPr="00B54A75">
        <w:rPr>
          <w:b/>
        </w:rPr>
        <w:t>F</w:t>
      </w:r>
      <w:r w:rsidR="00D723A6" w:rsidRPr="00B54A75">
        <w:t>, females;</w:t>
      </w:r>
      <w:r w:rsidR="00991863" w:rsidRPr="00B54A75">
        <w:t xml:space="preserve"> </w:t>
      </w:r>
      <w:r w:rsidR="00272BBE" w:rsidRPr="00B54A75">
        <w:rPr>
          <w:b/>
        </w:rPr>
        <w:t>TC-</w:t>
      </w:r>
      <w:proofErr w:type="spellStart"/>
      <w:r w:rsidR="00272BBE" w:rsidRPr="00B54A75">
        <w:rPr>
          <w:b/>
        </w:rPr>
        <w:t>GMv</w:t>
      </w:r>
      <w:proofErr w:type="spellEnd"/>
      <w:r w:rsidR="00272BBE" w:rsidRPr="00B54A75">
        <w:t>, total cerebral grey matter volume;</w:t>
      </w:r>
      <w:r w:rsidR="00991863" w:rsidRPr="00B54A75">
        <w:t xml:space="preserve"> </w:t>
      </w:r>
      <w:r w:rsidR="00272BBE" w:rsidRPr="00B54A75">
        <w:rPr>
          <w:b/>
        </w:rPr>
        <w:t>FFQ</w:t>
      </w:r>
      <w:r w:rsidR="00272BBE" w:rsidRPr="00B54A75">
        <w:t xml:space="preserve">, food frequency </w:t>
      </w:r>
      <w:r w:rsidR="00991863" w:rsidRPr="00B54A75">
        <w:t xml:space="preserve"> q</w:t>
      </w:r>
      <w:r w:rsidR="00272BBE" w:rsidRPr="00B54A75">
        <w:t>uestionnaire;</w:t>
      </w:r>
      <w:r w:rsidR="00991863" w:rsidRPr="00B54A75">
        <w:t xml:space="preserve"> </w:t>
      </w:r>
      <w:r w:rsidR="00272BBE" w:rsidRPr="00B54A75">
        <w:rPr>
          <w:rFonts w:cstheme="minorHAnsi"/>
          <w:b/>
        </w:rPr>
        <w:t>ω3-FA</w:t>
      </w:r>
      <w:r w:rsidR="00272BBE" w:rsidRPr="00B54A75">
        <w:rPr>
          <w:rFonts w:cstheme="minorHAnsi"/>
        </w:rPr>
        <w:t>, omega-3 fatty acid;</w:t>
      </w:r>
      <w:r w:rsidR="00991863" w:rsidRPr="00B54A75">
        <w:rPr>
          <w:rFonts w:cstheme="minorHAnsi"/>
        </w:rPr>
        <w:t xml:space="preserve"> </w:t>
      </w:r>
      <w:r w:rsidR="00272BBE" w:rsidRPr="00B54A75">
        <w:rPr>
          <w:rFonts w:cstheme="minorHAnsi"/>
          <w:b/>
        </w:rPr>
        <w:t>ω6-FA</w:t>
      </w:r>
      <w:r w:rsidR="00272BBE" w:rsidRPr="00B54A75">
        <w:rPr>
          <w:rFonts w:cstheme="minorHAnsi"/>
        </w:rPr>
        <w:t>, omega-6 fatty acid;</w:t>
      </w:r>
      <w:r w:rsidR="00991863" w:rsidRPr="00B54A75">
        <w:rPr>
          <w:rFonts w:cstheme="minorHAnsi"/>
        </w:rPr>
        <w:t xml:space="preserve"> </w:t>
      </w:r>
      <w:r w:rsidR="00272BBE" w:rsidRPr="00B54A75">
        <w:rPr>
          <w:rFonts w:cstheme="minorHAnsi"/>
          <w:b/>
        </w:rPr>
        <w:t>LCPUFA</w:t>
      </w:r>
      <w:r w:rsidR="00272BBE" w:rsidRPr="00B54A75">
        <w:rPr>
          <w:rFonts w:cstheme="minorHAnsi"/>
        </w:rPr>
        <w:t>, long-chain polyunsaturated fatty acid;</w:t>
      </w:r>
      <w:r w:rsidR="00991863" w:rsidRPr="00B54A75">
        <w:rPr>
          <w:rFonts w:cstheme="minorHAnsi"/>
        </w:rPr>
        <w:t xml:space="preserve"> </w:t>
      </w:r>
      <w:r w:rsidR="00272BBE" w:rsidRPr="00B54A75">
        <w:rPr>
          <w:rFonts w:cstheme="minorHAnsi"/>
          <w:b/>
        </w:rPr>
        <w:t>FOS</w:t>
      </w:r>
      <w:r w:rsidR="00272BBE" w:rsidRPr="00B54A75">
        <w:rPr>
          <w:rFonts w:cstheme="minorHAnsi"/>
        </w:rPr>
        <w:t>, fish oil supplementation;</w:t>
      </w:r>
      <w:r w:rsidR="00991863" w:rsidRPr="00B54A75">
        <w:rPr>
          <w:rFonts w:cstheme="minorHAnsi"/>
        </w:rPr>
        <w:t xml:space="preserve"> </w:t>
      </w:r>
      <w:r w:rsidR="001B212C" w:rsidRPr="00B54A75">
        <w:rPr>
          <w:rFonts w:cstheme="minorHAnsi"/>
          <w:b/>
        </w:rPr>
        <w:t>Vent-V</w:t>
      </w:r>
      <w:r w:rsidR="001B212C" w:rsidRPr="00B54A75">
        <w:rPr>
          <w:rFonts w:cstheme="minorHAnsi"/>
        </w:rPr>
        <w:t xml:space="preserve">, ventricle volume; </w:t>
      </w:r>
      <w:r w:rsidR="00F91E84" w:rsidRPr="00B54A75">
        <w:rPr>
          <w:rFonts w:cstheme="minorHAnsi"/>
          <w:b/>
        </w:rPr>
        <w:t>DHA</w:t>
      </w:r>
      <w:r w:rsidR="00F91E84" w:rsidRPr="00B54A75">
        <w:rPr>
          <w:rFonts w:cstheme="minorHAnsi"/>
        </w:rPr>
        <w:t>, docosahexaenoic acid;</w:t>
      </w:r>
      <w:r w:rsidR="00991863" w:rsidRPr="00B54A75">
        <w:rPr>
          <w:rFonts w:cstheme="minorHAnsi"/>
        </w:rPr>
        <w:t xml:space="preserve"> </w:t>
      </w:r>
      <w:r w:rsidR="00F91E84" w:rsidRPr="00B54A75">
        <w:rPr>
          <w:rFonts w:cstheme="minorHAnsi"/>
          <w:b/>
        </w:rPr>
        <w:t>EPA</w:t>
      </w:r>
      <w:r w:rsidR="00F91E84" w:rsidRPr="00B54A75">
        <w:rPr>
          <w:rFonts w:cstheme="minorHAnsi"/>
        </w:rPr>
        <w:t>, eicosapentaenoic acid;</w:t>
      </w:r>
      <w:r w:rsidR="00991863" w:rsidRPr="00B54A75">
        <w:rPr>
          <w:rFonts w:cstheme="minorHAnsi"/>
        </w:rPr>
        <w:t xml:space="preserve"> </w:t>
      </w:r>
      <w:r w:rsidR="009459D2" w:rsidRPr="00B54A75">
        <w:rPr>
          <w:rFonts w:cstheme="minorHAnsi"/>
          <w:b/>
        </w:rPr>
        <w:t>C-thin</w:t>
      </w:r>
      <w:r w:rsidR="009459D2" w:rsidRPr="00B54A75">
        <w:rPr>
          <w:rFonts w:cstheme="minorHAnsi"/>
        </w:rPr>
        <w:t>, cortical thinning</w:t>
      </w:r>
      <w:r w:rsidR="00991863" w:rsidRPr="00B54A75">
        <w:rPr>
          <w:rFonts w:cstheme="minorHAnsi"/>
        </w:rPr>
        <w:t xml:space="preserve">; </w:t>
      </w:r>
      <w:r w:rsidR="00F91E84" w:rsidRPr="00B54A75">
        <w:rPr>
          <w:rFonts w:cstheme="minorHAnsi"/>
          <w:b/>
        </w:rPr>
        <w:t>STC</w:t>
      </w:r>
      <w:r w:rsidR="00F91E84" w:rsidRPr="00B54A75">
        <w:rPr>
          <w:rFonts w:cstheme="minorHAnsi"/>
        </w:rPr>
        <w:t>, superior temporal cortex;</w:t>
      </w:r>
      <w:r w:rsidR="00991863" w:rsidRPr="00B54A75">
        <w:rPr>
          <w:rFonts w:cstheme="minorHAnsi"/>
        </w:rPr>
        <w:t xml:space="preserve"> </w:t>
      </w:r>
      <w:r w:rsidR="00F91E84" w:rsidRPr="00B54A75">
        <w:rPr>
          <w:rFonts w:cstheme="minorHAnsi"/>
          <w:b/>
        </w:rPr>
        <w:t>7DFD</w:t>
      </w:r>
      <w:r w:rsidR="00F91E84" w:rsidRPr="00B54A75">
        <w:rPr>
          <w:rFonts w:cstheme="minorHAnsi"/>
        </w:rPr>
        <w:t>, 7-day food diary;</w:t>
      </w:r>
      <w:r w:rsidR="00991863" w:rsidRPr="00B54A75">
        <w:rPr>
          <w:rFonts w:cstheme="minorHAnsi"/>
        </w:rPr>
        <w:t xml:space="preserve"> </w:t>
      </w:r>
      <w:r w:rsidR="006F713A" w:rsidRPr="00B54A75">
        <w:rPr>
          <w:rFonts w:cstheme="minorHAnsi"/>
          <w:b/>
        </w:rPr>
        <w:t>m</w:t>
      </w:r>
      <w:r w:rsidR="00B91A03" w:rsidRPr="00B54A75">
        <w:rPr>
          <w:rFonts w:cstheme="minorHAnsi"/>
          <w:b/>
        </w:rPr>
        <w:t>ed-TL</w:t>
      </w:r>
      <w:r w:rsidR="00B91A03" w:rsidRPr="00B54A75">
        <w:rPr>
          <w:rFonts w:cstheme="minorHAnsi"/>
        </w:rPr>
        <w:t>, medial temporal lobe;</w:t>
      </w:r>
      <w:r w:rsidR="00991863" w:rsidRPr="00B54A75">
        <w:rPr>
          <w:rFonts w:cstheme="minorHAnsi"/>
        </w:rPr>
        <w:t xml:space="preserve"> </w:t>
      </w:r>
      <w:r w:rsidR="00B91A03" w:rsidRPr="00B54A75">
        <w:rPr>
          <w:rFonts w:cstheme="minorHAnsi"/>
          <w:b/>
        </w:rPr>
        <w:t>AMYG</w:t>
      </w:r>
      <w:r w:rsidR="00B91A03" w:rsidRPr="00B54A75">
        <w:rPr>
          <w:rFonts w:cstheme="minorHAnsi"/>
        </w:rPr>
        <w:t>, amygdala;</w:t>
      </w:r>
      <w:r w:rsidR="00991863" w:rsidRPr="00B54A75">
        <w:rPr>
          <w:rFonts w:cstheme="minorHAnsi"/>
        </w:rPr>
        <w:t xml:space="preserve"> </w:t>
      </w:r>
      <w:proofErr w:type="spellStart"/>
      <w:r w:rsidR="00B91A03" w:rsidRPr="00B54A75">
        <w:rPr>
          <w:rFonts w:cstheme="minorHAnsi"/>
          <w:b/>
        </w:rPr>
        <w:t>ParaHC</w:t>
      </w:r>
      <w:proofErr w:type="spellEnd"/>
      <w:r w:rsidR="00B91A03" w:rsidRPr="00B54A75">
        <w:rPr>
          <w:rFonts w:cstheme="minorHAnsi"/>
        </w:rPr>
        <w:t xml:space="preserve">, </w:t>
      </w:r>
      <w:proofErr w:type="spellStart"/>
      <w:r w:rsidR="00B91A03" w:rsidRPr="00B54A75">
        <w:rPr>
          <w:rFonts w:cstheme="minorHAnsi"/>
        </w:rPr>
        <w:t>parahippocampus</w:t>
      </w:r>
      <w:proofErr w:type="spellEnd"/>
      <w:r w:rsidR="00B91A03" w:rsidRPr="00B54A75">
        <w:rPr>
          <w:rFonts w:cstheme="minorHAnsi"/>
        </w:rPr>
        <w:t>;</w:t>
      </w:r>
      <w:r w:rsidR="00991863" w:rsidRPr="00B54A75">
        <w:rPr>
          <w:rFonts w:cstheme="minorHAnsi"/>
        </w:rPr>
        <w:t xml:space="preserve"> </w:t>
      </w:r>
      <w:r w:rsidR="00EB5A6B" w:rsidRPr="00B54A75">
        <w:rPr>
          <w:rFonts w:cstheme="minorHAnsi"/>
          <w:b/>
        </w:rPr>
        <w:t>RBC</w:t>
      </w:r>
      <w:r w:rsidR="00EB5A6B" w:rsidRPr="00B54A75">
        <w:rPr>
          <w:rFonts w:cstheme="minorHAnsi"/>
        </w:rPr>
        <w:t>, red blood cell</w:t>
      </w:r>
      <w:r w:rsidR="009459D2" w:rsidRPr="00B54A75">
        <w:rPr>
          <w:rFonts w:cstheme="minorHAnsi"/>
        </w:rPr>
        <w:t>;</w:t>
      </w:r>
      <w:r w:rsidR="00991863" w:rsidRPr="00B54A75">
        <w:rPr>
          <w:rFonts w:cstheme="minorHAnsi"/>
        </w:rPr>
        <w:t xml:space="preserve"> </w:t>
      </w:r>
      <w:r w:rsidR="008A7ACA" w:rsidRPr="00B54A75">
        <w:rPr>
          <w:rFonts w:cstheme="minorHAnsi"/>
          <w:b/>
        </w:rPr>
        <w:t>VIT-</w:t>
      </w:r>
      <w:r w:rsidR="009459D2" w:rsidRPr="00B54A75">
        <w:rPr>
          <w:rFonts w:cstheme="minorHAnsi"/>
          <w:b/>
        </w:rPr>
        <w:t>D</w:t>
      </w:r>
      <w:r w:rsidR="009459D2" w:rsidRPr="00B54A75">
        <w:rPr>
          <w:rFonts w:cstheme="minorHAnsi"/>
        </w:rPr>
        <w:t>, vitamin D;</w:t>
      </w:r>
      <w:r w:rsidR="00991863" w:rsidRPr="00B54A75">
        <w:rPr>
          <w:rFonts w:cstheme="minorHAnsi"/>
        </w:rPr>
        <w:t xml:space="preserve"> </w:t>
      </w:r>
      <w:proofErr w:type="spellStart"/>
      <w:r w:rsidR="009459D2" w:rsidRPr="00B54A75">
        <w:rPr>
          <w:rFonts w:cstheme="minorHAnsi"/>
          <w:b/>
        </w:rPr>
        <w:t>rLPFC</w:t>
      </w:r>
      <w:proofErr w:type="spellEnd"/>
      <w:r w:rsidR="009459D2" w:rsidRPr="00B54A75">
        <w:rPr>
          <w:rFonts w:cstheme="minorHAnsi"/>
        </w:rPr>
        <w:t>, right lateral prefrontal cortex;</w:t>
      </w:r>
      <w:r w:rsidR="00991863" w:rsidRPr="00B54A75">
        <w:rPr>
          <w:rFonts w:cstheme="minorHAnsi"/>
        </w:rPr>
        <w:t xml:space="preserve"> </w:t>
      </w:r>
      <w:r w:rsidR="009459D2" w:rsidRPr="00B54A75">
        <w:rPr>
          <w:rFonts w:cstheme="minorHAnsi"/>
          <w:b/>
        </w:rPr>
        <w:t>NP</w:t>
      </w:r>
      <w:r w:rsidR="009459D2" w:rsidRPr="00B54A75">
        <w:rPr>
          <w:rFonts w:cstheme="minorHAnsi"/>
        </w:rPr>
        <w:t>, nutrient pattern;</w:t>
      </w:r>
      <w:r w:rsidR="00991863" w:rsidRPr="00B54A75">
        <w:rPr>
          <w:rFonts w:cstheme="minorHAnsi"/>
        </w:rPr>
        <w:t xml:space="preserve"> </w:t>
      </w:r>
      <w:r w:rsidR="008A7ACA" w:rsidRPr="00B54A75">
        <w:rPr>
          <w:rFonts w:cstheme="minorHAnsi"/>
          <w:b/>
        </w:rPr>
        <w:t>VIT-</w:t>
      </w:r>
      <w:r w:rsidR="00A57BF1" w:rsidRPr="00B54A75">
        <w:rPr>
          <w:rFonts w:cstheme="minorHAnsi"/>
          <w:b/>
        </w:rPr>
        <w:t>E</w:t>
      </w:r>
      <w:r w:rsidR="00A57BF1" w:rsidRPr="00B54A75">
        <w:rPr>
          <w:rFonts w:cstheme="minorHAnsi"/>
        </w:rPr>
        <w:t>, vitamin E;</w:t>
      </w:r>
      <w:r w:rsidR="00B14009">
        <w:rPr>
          <w:rFonts w:cstheme="minorHAnsi"/>
        </w:rPr>
        <w:t xml:space="preserve"> </w:t>
      </w:r>
      <w:r w:rsidR="00B14009" w:rsidRPr="00B14009">
        <w:rPr>
          <w:rFonts w:cstheme="minorHAnsi"/>
          <w:b/>
        </w:rPr>
        <w:t>VIT-B</w:t>
      </w:r>
      <w:r w:rsidR="00B14009" w:rsidRPr="00B14009">
        <w:rPr>
          <w:rFonts w:cstheme="minorHAnsi"/>
          <w:b/>
          <w:vertAlign w:val="subscript"/>
        </w:rPr>
        <w:t>1</w:t>
      </w:r>
      <w:r w:rsidR="00B14009">
        <w:rPr>
          <w:rFonts w:cstheme="minorHAnsi"/>
        </w:rPr>
        <w:t>; vitamin B</w:t>
      </w:r>
      <w:r w:rsidR="00B14009" w:rsidRPr="00B14009">
        <w:rPr>
          <w:rFonts w:cstheme="minorHAnsi"/>
          <w:vertAlign w:val="subscript"/>
        </w:rPr>
        <w:t>1</w:t>
      </w:r>
      <w:r w:rsidR="00B14009">
        <w:rPr>
          <w:rFonts w:cstheme="minorHAnsi"/>
        </w:rPr>
        <w:t xml:space="preserve">; </w:t>
      </w:r>
      <w:r w:rsidR="00B14009" w:rsidRPr="00B14009">
        <w:rPr>
          <w:rFonts w:cstheme="minorHAnsi"/>
          <w:b/>
        </w:rPr>
        <w:t>VIT-B</w:t>
      </w:r>
      <w:r w:rsidR="00B14009" w:rsidRPr="00B14009">
        <w:rPr>
          <w:rFonts w:cstheme="minorHAnsi"/>
          <w:b/>
          <w:vertAlign w:val="subscript"/>
        </w:rPr>
        <w:t>2</w:t>
      </w:r>
      <w:r w:rsidR="00B14009">
        <w:rPr>
          <w:rFonts w:cstheme="minorHAnsi"/>
        </w:rPr>
        <w:t>, vitamin B</w:t>
      </w:r>
      <w:r w:rsidR="00B14009" w:rsidRPr="00B14009">
        <w:rPr>
          <w:rFonts w:cstheme="minorHAnsi"/>
          <w:vertAlign w:val="subscript"/>
        </w:rPr>
        <w:t>2</w:t>
      </w:r>
      <w:r w:rsidR="00B14009">
        <w:rPr>
          <w:rFonts w:cstheme="minorHAnsi"/>
        </w:rPr>
        <w:t xml:space="preserve">; </w:t>
      </w:r>
      <w:r w:rsidR="00B14009" w:rsidRPr="00B14009">
        <w:rPr>
          <w:rFonts w:cstheme="minorHAnsi"/>
          <w:b/>
        </w:rPr>
        <w:t>VIT-B</w:t>
      </w:r>
      <w:r w:rsidR="00B14009" w:rsidRPr="00B14009">
        <w:rPr>
          <w:rFonts w:cstheme="minorHAnsi"/>
          <w:b/>
          <w:vertAlign w:val="subscript"/>
        </w:rPr>
        <w:t>3</w:t>
      </w:r>
      <w:r w:rsidR="00B14009">
        <w:rPr>
          <w:rFonts w:cstheme="minorHAnsi"/>
        </w:rPr>
        <w:t>, vitamin B</w:t>
      </w:r>
      <w:r w:rsidR="00B14009" w:rsidRPr="00B14009">
        <w:rPr>
          <w:rFonts w:cstheme="minorHAnsi"/>
          <w:vertAlign w:val="subscript"/>
        </w:rPr>
        <w:t>3</w:t>
      </w:r>
      <w:r w:rsidR="00B14009">
        <w:rPr>
          <w:rFonts w:cstheme="minorHAnsi"/>
        </w:rPr>
        <w:t>;</w:t>
      </w:r>
      <w:r w:rsidR="00991863" w:rsidRPr="00B54A75">
        <w:rPr>
          <w:rFonts w:cstheme="minorHAnsi"/>
        </w:rPr>
        <w:t xml:space="preserve"> </w:t>
      </w:r>
      <w:r w:rsidR="00892187" w:rsidRPr="00B54A75">
        <w:rPr>
          <w:rFonts w:cstheme="minorHAnsi"/>
          <w:b/>
        </w:rPr>
        <w:t>S-Fat</w:t>
      </w:r>
      <w:r w:rsidR="00892187" w:rsidRPr="00B54A75">
        <w:rPr>
          <w:rFonts w:cstheme="minorHAnsi"/>
        </w:rPr>
        <w:t>, saturated fat;</w:t>
      </w:r>
      <w:r w:rsidR="00991863" w:rsidRPr="00B54A75">
        <w:rPr>
          <w:rFonts w:cstheme="minorHAnsi"/>
        </w:rPr>
        <w:t xml:space="preserve"> </w:t>
      </w:r>
      <w:r w:rsidR="00892187" w:rsidRPr="00B54A75">
        <w:rPr>
          <w:rFonts w:cstheme="minorHAnsi"/>
          <w:b/>
        </w:rPr>
        <w:t>T-Fat</w:t>
      </w:r>
      <w:r w:rsidR="00892187" w:rsidRPr="00B54A75">
        <w:rPr>
          <w:rFonts w:cstheme="minorHAnsi"/>
        </w:rPr>
        <w:t>, trans-saturated fats;</w:t>
      </w:r>
      <w:r w:rsidR="00991863" w:rsidRPr="00B54A75">
        <w:rPr>
          <w:rFonts w:cstheme="minorHAnsi"/>
        </w:rPr>
        <w:t xml:space="preserve"> </w:t>
      </w:r>
      <w:r w:rsidR="00ED4C59" w:rsidRPr="00B54A75">
        <w:rPr>
          <w:rFonts w:cstheme="minorHAnsi"/>
          <w:b/>
        </w:rPr>
        <w:t>LL</w:t>
      </w:r>
      <w:r w:rsidR="00ED4C59" w:rsidRPr="00B54A75">
        <w:rPr>
          <w:rFonts w:cstheme="minorHAnsi"/>
        </w:rPr>
        <w:t>, limbic lobe;</w:t>
      </w:r>
      <w:r w:rsidR="00991863" w:rsidRPr="00B54A75">
        <w:rPr>
          <w:rFonts w:cstheme="minorHAnsi"/>
        </w:rPr>
        <w:t xml:space="preserve"> </w:t>
      </w:r>
      <w:r w:rsidR="009459D2" w:rsidRPr="00B54A75">
        <w:rPr>
          <w:rFonts w:cstheme="minorHAnsi"/>
          <w:b/>
        </w:rPr>
        <w:t>NBP</w:t>
      </w:r>
      <w:r w:rsidR="009459D2" w:rsidRPr="00B54A75">
        <w:rPr>
          <w:rFonts w:cstheme="minorHAnsi"/>
        </w:rPr>
        <w:t>, nutrient biomarker pattern;</w:t>
      </w:r>
      <w:r w:rsidR="009F3693">
        <w:rPr>
          <w:rFonts w:cstheme="minorHAnsi"/>
        </w:rPr>
        <w:t xml:space="preserve"> </w:t>
      </w:r>
      <w:r w:rsidR="009F3693" w:rsidRPr="009F3693">
        <w:rPr>
          <w:rFonts w:cstheme="minorHAnsi"/>
          <w:b/>
        </w:rPr>
        <w:t>VIT-C</w:t>
      </w:r>
      <w:r w:rsidR="009F3693">
        <w:rPr>
          <w:rFonts w:cstheme="minorHAnsi"/>
        </w:rPr>
        <w:t>, vitamin C;</w:t>
      </w:r>
      <w:r w:rsidR="00991863" w:rsidRPr="00B54A75">
        <w:rPr>
          <w:rFonts w:cstheme="minorHAnsi"/>
        </w:rPr>
        <w:t xml:space="preserve"> </w:t>
      </w:r>
      <w:proofErr w:type="spellStart"/>
      <w:r w:rsidR="00ED4C59" w:rsidRPr="00B54A75">
        <w:rPr>
          <w:rFonts w:cstheme="minorHAnsi"/>
          <w:b/>
        </w:rPr>
        <w:t>MeDI</w:t>
      </w:r>
      <w:proofErr w:type="spellEnd"/>
      <w:r w:rsidR="00ED4C59" w:rsidRPr="00B54A75">
        <w:rPr>
          <w:rFonts w:cstheme="minorHAnsi"/>
        </w:rPr>
        <w:t xml:space="preserve">, </w:t>
      </w:r>
      <w:proofErr w:type="spellStart"/>
      <w:r w:rsidR="00ED4C59" w:rsidRPr="00B54A75">
        <w:rPr>
          <w:rFonts w:cstheme="minorHAnsi"/>
        </w:rPr>
        <w:t>mediterranean</w:t>
      </w:r>
      <w:proofErr w:type="spellEnd"/>
      <w:r w:rsidR="00ED4C59" w:rsidRPr="00B54A75">
        <w:rPr>
          <w:rFonts w:cstheme="minorHAnsi"/>
        </w:rPr>
        <w:t xml:space="preserve"> </w:t>
      </w:r>
      <w:r w:rsidR="00C4571F" w:rsidRPr="00B54A75">
        <w:rPr>
          <w:rFonts w:cstheme="minorHAnsi"/>
        </w:rPr>
        <w:t xml:space="preserve">style </w:t>
      </w:r>
      <w:r w:rsidR="00ED4C59" w:rsidRPr="00B54A75">
        <w:rPr>
          <w:rFonts w:cstheme="minorHAnsi"/>
        </w:rPr>
        <w:t>diet</w:t>
      </w:r>
      <w:r w:rsidR="00686C2B" w:rsidRPr="00B54A75">
        <w:rPr>
          <w:rFonts w:cstheme="minorHAnsi"/>
        </w:rPr>
        <w:t xml:space="preserve"> score;</w:t>
      </w:r>
      <w:r w:rsidR="00991863" w:rsidRPr="00B54A75">
        <w:rPr>
          <w:rFonts w:cstheme="minorHAnsi"/>
        </w:rPr>
        <w:t xml:space="preserve"> </w:t>
      </w:r>
      <w:r w:rsidR="00551886" w:rsidRPr="00B54A75">
        <w:rPr>
          <w:rFonts w:cstheme="minorHAnsi"/>
          <w:b/>
        </w:rPr>
        <w:t>ERC</w:t>
      </w:r>
      <w:r w:rsidR="00551886" w:rsidRPr="00B54A75">
        <w:rPr>
          <w:rFonts w:cstheme="minorHAnsi"/>
        </w:rPr>
        <w:t>, entorhinal cortex;</w:t>
      </w:r>
      <w:r w:rsidR="00991863" w:rsidRPr="00B54A75">
        <w:rPr>
          <w:rFonts w:cstheme="minorHAnsi"/>
        </w:rPr>
        <w:t xml:space="preserve"> </w:t>
      </w:r>
      <w:proofErr w:type="spellStart"/>
      <w:r w:rsidR="00BD17B8" w:rsidRPr="00B54A75">
        <w:rPr>
          <w:rFonts w:cstheme="minorHAnsi"/>
          <w:b/>
        </w:rPr>
        <w:t>aThR</w:t>
      </w:r>
      <w:proofErr w:type="spellEnd"/>
      <w:r w:rsidR="00BD17B8" w:rsidRPr="00B54A75">
        <w:rPr>
          <w:rFonts w:cstheme="minorHAnsi"/>
        </w:rPr>
        <w:t>, anterior thalamic radiation;</w:t>
      </w:r>
      <w:r w:rsidR="00991863" w:rsidRPr="00B54A75">
        <w:rPr>
          <w:rFonts w:cstheme="minorHAnsi"/>
        </w:rPr>
        <w:t xml:space="preserve"> </w:t>
      </w:r>
      <w:proofErr w:type="spellStart"/>
      <w:r w:rsidR="00BD17B8" w:rsidRPr="00B54A75">
        <w:rPr>
          <w:rFonts w:cstheme="minorHAnsi"/>
          <w:b/>
        </w:rPr>
        <w:t>pThR</w:t>
      </w:r>
      <w:proofErr w:type="spellEnd"/>
      <w:r w:rsidR="00BD17B8" w:rsidRPr="00B54A75">
        <w:rPr>
          <w:rFonts w:cstheme="minorHAnsi"/>
        </w:rPr>
        <w:t>, posterior thalamic radiation;</w:t>
      </w:r>
      <w:r w:rsidR="00991863" w:rsidRPr="00B54A75">
        <w:rPr>
          <w:rFonts w:cstheme="minorHAnsi"/>
        </w:rPr>
        <w:t xml:space="preserve"> </w:t>
      </w:r>
      <w:proofErr w:type="spellStart"/>
      <w:r w:rsidR="00BD17B8" w:rsidRPr="00B54A75">
        <w:rPr>
          <w:rFonts w:cstheme="minorHAnsi"/>
          <w:b/>
        </w:rPr>
        <w:t>pCingG</w:t>
      </w:r>
      <w:proofErr w:type="spellEnd"/>
      <w:r w:rsidR="00BD17B8" w:rsidRPr="00B54A75">
        <w:rPr>
          <w:rFonts w:cstheme="minorHAnsi"/>
        </w:rPr>
        <w:t>, paracingulate gyrus;</w:t>
      </w:r>
      <w:r w:rsidR="00991863" w:rsidRPr="00B54A75">
        <w:rPr>
          <w:rFonts w:cstheme="minorHAnsi"/>
        </w:rPr>
        <w:t xml:space="preserve"> </w:t>
      </w:r>
      <w:proofErr w:type="spellStart"/>
      <w:r w:rsidR="009F3693">
        <w:rPr>
          <w:rFonts w:cstheme="minorHAnsi"/>
          <w:b/>
        </w:rPr>
        <w:t>Para</w:t>
      </w:r>
      <w:r w:rsidR="00BD17B8" w:rsidRPr="00B54A75">
        <w:rPr>
          <w:rFonts w:cstheme="minorHAnsi"/>
          <w:b/>
        </w:rPr>
        <w:t>HC</w:t>
      </w:r>
      <w:proofErr w:type="spellEnd"/>
      <w:r w:rsidR="00BD17B8" w:rsidRPr="00B54A75">
        <w:rPr>
          <w:rFonts w:cstheme="minorHAnsi"/>
          <w:b/>
        </w:rPr>
        <w:t>-F</w:t>
      </w:r>
      <w:r w:rsidR="00BD17B8" w:rsidRPr="00B54A75">
        <w:rPr>
          <w:rFonts w:cstheme="minorHAnsi"/>
        </w:rPr>
        <w:t xml:space="preserve">, </w:t>
      </w:r>
      <w:proofErr w:type="spellStart"/>
      <w:r w:rsidR="00BD17B8" w:rsidRPr="00B54A75">
        <w:rPr>
          <w:rFonts w:cstheme="minorHAnsi"/>
        </w:rPr>
        <w:t>parahippocampal</w:t>
      </w:r>
      <w:proofErr w:type="spellEnd"/>
      <w:r w:rsidR="00BD17B8" w:rsidRPr="00B54A75">
        <w:rPr>
          <w:rFonts w:cstheme="minorHAnsi"/>
        </w:rPr>
        <w:t xml:space="preserve"> fornix;</w:t>
      </w:r>
      <w:r w:rsidR="00991863" w:rsidRPr="00B54A75">
        <w:rPr>
          <w:rFonts w:cstheme="minorHAnsi"/>
        </w:rPr>
        <w:t xml:space="preserve"> </w:t>
      </w:r>
      <w:proofErr w:type="spellStart"/>
      <w:r w:rsidR="00546FE4" w:rsidRPr="00B54A75">
        <w:rPr>
          <w:rFonts w:cstheme="minorHAnsi"/>
          <w:b/>
        </w:rPr>
        <w:t>H</w:t>
      </w:r>
      <w:r w:rsidR="00C4571F" w:rsidRPr="00B54A75">
        <w:rPr>
          <w:rFonts w:cstheme="minorHAnsi"/>
          <w:b/>
        </w:rPr>
        <w:t>MeDI</w:t>
      </w:r>
      <w:proofErr w:type="spellEnd"/>
      <w:r w:rsidR="00C4571F" w:rsidRPr="00B54A75">
        <w:rPr>
          <w:rFonts w:cstheme="minorHAnsi"/>
        </w:rPr>
        <w:t xml:space="preserve">, high </w:t>
      </w:r>
      <w:proofErr w:type="spellStart"/>
      <w:r w:rsidR="00C4571F" w:rsidRPr="00B54A75">
        <w:rPr>
          <w:rFonts w:cstheme="minorHAnsi"/>
        </w:rPr>
        <w:t>mediterranean</w:t>
      </w:r>
      <w:proofErr w:type="spellEnd"/>
      <w:r w:rsidR="00C4571F" w:rsidRPr="00B54A75">
        <w:rPr>
          <w:rFonts w:cstheme="minorHAnsi"/>
        </w:rPr>
        <w:t xml:space="preserve"> style diet score;</w:t>
      </w:r>
      <w:r w:rsidR="00991863" w:rsidRPr="00B54A75">
        <w:rPr>
          <w:rFonts w:cstheme="minorHAnsi"/>
        </w:rPr>
        <w:t xml:space="preserve"> </w:t>
      </w:r>
      <w:proofErr w:type="spellStart"/>
      <w:r w:rsidR="00546FE4" w:rsidRPr="00B54A75">
        <w:rPr>
          <w:rFonts w:cstheme="minorHAnsi"/>
          <w:b/>
        </w:rPr>
        <w:t>L</w:t>
      </w:r>
      <w:r w:rsidR="00C4571F" w:rsidRPr="00B54A75">
        <w:rPr>
          <w:rFonts w:cstheme="minorHAnsi"/>
          <w:b/>
        </w:rPr>
        <w:t>MeDI</w:t>
      </w:r>
      <w:proofErr w:type="spellEnd"/>
      <w:r w:rsidR="00C4571F" w:rsidRPr="00B54A75">
        <w:rPr>
          <w:rFonts w:cstheme="minorHAnsi"/>
        </w:rPr>
        <w:t xml:space="preserve">, low </w:t>
      </w:r>
      <w:proofErr w:type="spellStart"/>
      <w:r w:rsidR="00C4571F" w:rsidRPr="00B54A75">
        <w:rPr>
          <w:rFonts w:cstheme="minorHAnsi"/>
        </w:rPr>
        <w:t>mediterranean</w:t>
      </w:r>
      <w:proofErr w:type="spellEnd"/>
      <w:r w:rsidR="00C4571F" w:rsidRPr="00B54A75">
        <w:rPr>
          <w:rFonts w:cstheme="minorHAnsi"/>
        </w:rPr>
        <w:t xml:space="preserve"> style diet score;</w:t>
      </w:r>
      <w:r w:rsidR="00991863" w:rsidRPr="00B54A75">
        <w:rPr>
          <w:rFonts w:cstheme="minorHAnsi"/>
        </w:rPr>
        <w:t xml:space="preserve"> </w:t>
      </w:r>
      <w:r w:rsidR="009F3693" w:rsidRPr="009F3693">
        <w:rPr>
          <w:rFonts w:cstheme="minorHAnsi"/>
          <w:b/>
        </w:rPr>
        <w:t>OFC</w:t>
      </w:r>
      <w:r w:rsidR="009F3693">
        <w:rPr>
          <w:rFonts w:cstheme="minorHAnsi"/>
        </w:rPr>
        <w:t xml:space="preserve">, </w:t>
      </w:r>
      <w:proofErr w:type="spellStart"/>
      <w:r w:rsidR="009F3693">
        <w:rPr>
          <w:rFonts w:cstheme="minorHAnsi"/>
        </w:rPr>
        <w:t>orbito</w:t>
      </w:r>
      <w:proofErr w:type="spellEnd"/>
      <w:r w:rsidR="009F3693">
        <w:rPr>
          <w:rFonts w:cstheme="minorHAnsi"/>
        </w:rPr>
        <w:t xml:space="preserve"> frontal cortex; </w:t>
      </w:r>
      <w:r w:rsidR="008D05ED" w:rsidRPr="00B54A75">
        <w:rPr>
          <w:rFonts w:cstheme="minorHAnsi"/>
          <w:b/>
        </w:rPr>
        <w:t>P-Diet</w:t>
      </w:r>
      <w:r w:rsidR="008D05ED" w:rsidRPr="00B54A75">
        <w:rPr>
          <w:rFonts w:cstheme="minorHAnsi"/>
        </w:rPr>
        <w:t xml:space="preserve">, prudent diet score; </w:t>
      </w:r>
      <w:proofErr w:type="spellStart"/>
      <w:r w:rsidR="00C4571F" w:rsidRPr="00B54A75">
        <w:rPr>
          <w:rFonts w:cstheme="minorHAnsi"/>
          <w:b/>
        </w:rPr>
        <w:t>WeDI</w:t>
      </w:r>
      <w:proofErr w:type="spellEnd"/>
      <w:r w:rsidR="00C4571F" w:rsidRPr="00B54A75">
        <w:rPr>
          <w:rFonts w:cstheme="minorHAnsi"/>
        </w:rPr>
        <w:t>, Western style diet score</w:t>
      </w:r>
      <w:r w:rsidR="00DF2042" w:rsidRPr="00B54A75">
        <w:rPr>
          <w:rFonts w:cstheme="minorHAnsi"/>
        </w:rPr>
        <w:t>;</w:t>
      </w:r>
      <w:r w:rsidR="00991863" w:rsidRPr="00B54A75">
        <w:rPr>
          <w:rFonts w:cstheme="minorHAnsi"/>
        </w:rPr>
        <w:t xml:space="preserve"> </w:t>
      </w:r>
      <w:r w:rsidR="00DF2042" w:rsidRPr="00B54A75">
        <w:rPr>
          <w:rFonts w:cstheme="minorHAnsi"/>
          <w:b/>
        </w:rPr>
        <w:t>GM-d</w:t>
      </w:r>
      <w:r w:rsidR="00DF2042" w:rsidRPr="00B54A75">
        <w:rPr>
          <w:rFonts w:cstheme="minorHAnsi"/>
        </w:rPr>
        <w:t>, grey matter density;</w:t>
      </w:r>
      <w:r w:rsidR="00991863" w:rsidRPr="00B54A75">
        <w:rPr>
          <w:rFonts w:cstheme="minorHAnsi"/>
        </w:rPr>
        <w:t xml:space="preserve"> </w:t>
      </w:r>
      <w:r w:rsidR="008112AC" w:rsidRPr="00B54A75">
        <w:rPr>
          <w:rFonts w:cstheme="minorHAnsi"/>
          <w:b/>
        </w:rPr>
        <w:t>SQ</w:t>
      </w:r>
      <w:r w:rsidR="00CA1528">
        <w:rPr>
          <w:rFonts w:cstheme="minorHAnsi"/>
        </w:rPr>
        <w:t>, structured questionnaire</w:t>
      </w:r>
      <w:r w:rsidR="00530AD4" w:rsidRPr="00B54A75">
        <w:rPr>
          <w:rFonts w:cstheme="minorHAnsi"/>
        </w:rPr>
        <w:t>;</w:t>
      </w:r>
      <w:r w:rsidR="00991863" w:rsidRPr="00B54A75">
        <w:rPr>
          <w:rFonts w:cstheme="minorHAnsi"/>
        </w:rPr>
        <w:t xml:space="preserve"> </w:t>
      </w:r>
      <w:r w:rsidR="00E7142B" w:rsidRPr="00B54A75">
        <w:rPr>
          <w:rFonts w:cstheme="minorHAnsi"/>
          <w:b/>
        </w:rPr>
        <w:t>APOE</w:t>
      </w:r>
      <w:r w:rsidR="00E7142B" w:rsidRPr="00B54A75">
        <w:rPr>
          <w:rFonts w:cstheme="minorHAnsi"/>
        </w:rPr>
        <w:t xml:space="preserve"> </w:t>
      </w:r>
      <w:r w:rsidR="00E7142B" w:rsidRPr="00B54A75">
        <w:rPr>
          <w:rFonts w:cstheme="minorHAnsi"/>
          <w:b/>
        </w:rPr>
        <w:t>ϵ4</w:t>
      </w:r>
      <w:r w:rsidR="00E7142B" w:rsidRPr="00B54A75">
        <w:rPr>
          <w:rFonts w:cstheme="minorHAnsi"/>
        </w:rPr>
        <w:t>, apo</w:t>
      </w:r>
      <w:r w:rsidR="001965F1" w:rsidRPr="00B54A75">
        <w:rPr>
          <w:rFonts w:cstheme="minorHAnsi"/>
        </w:rPr>
        <w:t>lipoprotein ϵ4;</w:t>
      </w:r>
      <w:r w:rsidR="00991863" w:rsidRPr="00B54A75">
        <w:rPr>
          <w:rFonts w:cstheme="minorHAnsi"/>
        </w:rPr>
        <w:t xml:space="preserve"> </w:t>
      </w:r>
      <w:r w:rsidR="001965F1" w:rsidRPr="00B54A75">
        <w:rPr>
          <w:rFonts w:cstheme="minorHAnsi"/>
          <w:b/>
        </w:rPr>
        <w:t>FFC</w:t>
      </w:r>
      <w:r w:rsidR="001965F1" w:rsidRPr="00B54A75">
        <w:rPr>
          <w:rFonts w:cstheme="minorHAnsi"/>
        </w:rPr>
        <w:t>, frequent fish consumers;</w:t>
      </w:r>
      <w:r w:rsidR="00991863" w:rsidRPr="00B54A75">
        <w:rPr>
          <w:rFonts w:cstheme="minorHAnsi"/>
        </w:rPr>
        <w:t xml:space="preserve"> </w:t>
      </w:r>
      <w:r w:rsidR="001965F1" w:rsidRPr="00B54A75">
        <w:rPr>
          <w:rFonts w:cstheme="minorHAnsi"/>
          <w:b/>
        </w:rPr>
        <w:t>inf-FC</w:t>
      </w:r>
      <w:r w:rsidR="001965F1" w:rsidRPr="00B54A75">
        <w:rPr>
          <w:rFonts w:cstheme="minorHAnsi"/>
        </w:rPr>
        <w:t>, infrequent fish consumers;</w:t>
      </w:r>
      <w:r w:rsidR="00991863" w:rsidRPr="00B54A75">
        <w:rPr>
          <w:rFonts w:cstheme="minorHAnsi"/>
        </w:rPr>
        <w:t xml:space="preserve"> </w:t>
      </w:r>
      <w:proofErr w:type="spellStart"/>
      <w:r w:rsidR="00607DAE" w:rsidRPr="00B54A75">
        <w:rPr>
          <w:rFonts w:cstheme="minorHAnsi"/>
          <w:b/>
        </w:rPr>
        <w:t>preC</w:t>
      </w:r>
      <w:proofErr w:type="spellEnd"/>
      <w:r w:rsidR="00607DAE" w:rsidRPr="00B54A75">
        <w:rPr>
          <w:rFonts w:cstheme="minorHAnsi"/>
        </w:rPr>
        <w:t>, precuneus</w:t>
      </w:r>
      <w:r w:rsidR="00991863" w:rsidRPr="00B54A75">
        <w:rPr>
          <w:rFonts w:cstheme="minorHAnsi"/>
        </w:rPr>
        <w:t xml:space="preserve">. </w:t>
      </w:r>
      <w:r w:rsidR="00991863" w:rsidRPr="00B54A75">
        <w:rPr>
          <w:rFonts w:cstheme="minorHAnsi"/>
          <w:b/>
        </w:rPr>
        <w:t>Symbols:</w:t>
      </w:r>
      <w:r w:rsidR="00991863" w:rsidRPr="00B54A75">
        <w:rPr>
          <w:rFonts w:cstheme="minorHAnsi"/>
        </w:rPr>
        <w:t xml:space="preserve"> </w:t>
      </w:r>
      <w:r w:rsidR="00991863" w:rsidRPr="00B54A75">
        <w:rPr>
          <w:b/>
        </w:rPr>
        <w:t>*</w:t>
      </w:r>
      <w:r w:rsidR="00B1343D" w:rsidRPr="00B54A75">
        <w:rPr>
          <w:b/>
        </w:rPr>
        <w:t xml:space="preserve"> </w:t>
      </w:r>
      <w:r w:rsidR="00523469" w:rsidRPr="00B54A75">
        <w:t>All studies examined blood biomarkers unless otherwise specified;</w:t>
      </w:r>
      <w:r w:rsidR="00FE2D1A" w:rsidRPr="00B54A75">
        <w:rPr>
          <w:rFonts w:cstheme="minorHAnsi"/>
          <w:b/>
        </w:rPr>
        <w:t>†</w:t>
      </w:r>
      <w:r w:rsidR="00B1343D" w:rsidRPr="00B54A75">
        <w:rPr>
          <w:rFonts w:cstheme="minorHAnsi"/>
          <w:b/>
        </w:rPr>
        <w:t xml:space="preserve"> </w:t>
      </w:r>
      <w:r w:rsidR="0076715C" w:rsidRPr="00B54A75">
        <w:t>Study i</w:t>
      </w:r>
      <w:r w:rsidR="00AE3FC7" w:rsidRPr="00B54A75">
        <w:t>ncluded participants with CN, MCI, or AD (</w:t>
      </w:r>
      <w:r w:rsidR="00794B56">
        <w:t xml:space="preserve">baseline </w:t>
      </w:r>
      <w:r w:rsidR="0076715C" w:rsidRPr="00B54A75">
        <w:t>diagnosis were controlled for during analysis)</w:t>
      </w:r>
      <w:r w:rsidR="00991863" w:rsidRPr="00B54A75">
        <w:t xml:space="preserve">; </w:t>
      </w:r>
      <w:r w:rsidR="00FE2D1A" w:rsidRPr="00B54A75">
        <w:rPr>
          <w:rFonts w:cstheme="minorHAnsi"/>
          <w:b/>
        </w:rPr>
        <w:t>‡</w:t>
      </w:r>
      <w:r w:rsidR="00B1343D" w:rsidRPr="00B54A75">
        <w:rPr>
          <w:rFonts w:cstheme="minorHAnsi"/>
        </w:rPr>
        <w:t xml:space="preserve"> </w:t>
      </w:r>
      <w:r w:rsidR="0076715C" w:rsidRPr="00B54A75">
        <w:rPr>
          <w:rFonts w:cstheme="minorHAnsi"/>
        </w:rPr>
        <w:t>Study i</w:t>
      </w:r>
      <w:r w:rsidR="00AE3FC7" w:rsidRPr="00B54A75">
        <w:rPr>
          <w:rFonts w:cstheme="minorHAnsi"/>
        </w:rPr>
        <w:t>nclude</w:t>
      </w:r>
      <w:r w:rsidR="0076715C" w:rsidRPr="00B54A75">
        <w:rPr>
          <w:rFonts w:cstheme="minorHAnsi"/>
        </w:rPr>
        <w:t>d participants (3% of whole sample) with dementia</w:t>
      </w:r>
      <w:r w:rsidR="00AE3FC7" w:rsidRPr="00B54A75">
        <w:rPr>
          <w:rFonts w:cstheme="minorHAnsi"/>
        </w:rPr>
        <w:t xml:space="preserve"> (</w:t>
      </w:r>
      <w:r w:rsidR="0076715C" w:rsidRPr="00B54A75">
        <w:rPr>
          <w:rFonts w:cstheme="minorHAnsi"/>
        </w:rPr>
        <w:t>secondary analysis adjusted for dementia diagnosis)</w:t>
      </w:r>
      <w:r w:rsidR="00CA630B" w:rsidRPr="00B54A75">
        <w:t xml:space="preserve">; </w:t>
      </w:r>
      <w:r w:rsidR="00E4707C" w:rsidRPr="00B54A75">
        <w:rPr>
          <w:rFonts w:cstheme="minorHAnsi"/>
          <w:b/>
        </w:rPr>
        <w:t>§</w:t>
      </w:r>
      <w:r w:rsidR="00E4707C">
        <w:rPr>
          <w:rFonts w:cstheme="minorHAnsi"/>
          <w:b/>
        </w:rPr>
        <w:t xml:space="preserve"> </w:t>
      </w:r>
      <w:r w:rsidR="00E4707C">
        <w:rPr>
          <w:rFonts w:cstheme="minorHAnsi"/>
        </w:rPr>
        <w:t>Confirmation of dementia free status was received through corre</w:t>
      </w:r>
      <w:r w:rsidR="00303DDA">
        <w:rPr>
          <w:rFonts w:cstheme="minorHAnsi"/>
        </w:rPr>
        <w:t>spondence with original authors;</w:t>
      </w:r>
      <w:r w:rsidR="003C25D2" w:rsidRPr="00B54A75">
        <w:rPr>
          <w:rFonts w:cstheme="minorHAnsi"/>
          <w:b/>
        </w:rPr>
        <w:t>|</w:t>
      </w:r>
      <w:r w:rsidR="00B1343D" w:rsidRPr="00B54A75">
        <w:rPr>
          <w:rFonts w:cstheme="minorHAnsi"/>
          <w:b/>
        </w:rPr>
        <w:t xml:space="preserve"> </w:t>
      </w:r>
      <w:r w:rsidR="0076715C" w:rsidRPr="00B54A75">
        <w:t xml:space="preserve">Study included </w:t>
      </w:r>
      <w:r w:rsidR="00B174DF">
        <w:t>one</w:t>
      </w:r>
      <w:r w:rsidR="00CA630B" w:rsidRPr="00B54A75">
        <w:t xml:space="preserve"> participant (</w:t>
      </w:r>
      <w:r w:rsidR="00AE3FC7" w:rsidRPr="00B54A75">
        <w:t xml:space="preserve">&lt; 0.1% of whole sample) </w:t>
      </w:r>
      <w:r w:rsidR="00B174DF">
        <w:t xml:space="preserve">who </w:t>
      </w:r>
      <w:r w:rsidR="00CA630B" w:rsidRPr="00B54A75">
        <w:t xml:space="preserve">developed dementia </w:t>
      </w:r>
      <w:r w:rsidR="00B174DF">
        <w:t>during interval between diet assessment &amp; MRI scan</w:t>
      </w:r>
      <w:r w:rsidR="00CA630B" w:rsidRPr="00B54A75">
        <w:t>;</w:t>
      </w:r>
      <w:r w:rsidR="00303DDA">
        <w:t xml:space="preserve"> </w:t>
      </w:r>
      <w:r w:rsidR="003C25D2" w:rsidRPr="00B54A75">
        <w:rPr>
          <w:rFonts w:cstheme="minorHAnsi"/>
          <w:b/>
        </w:rPr>
        <w:t>¶</w:t>
      </w:r>
      <w:r w:rsidR="00B1343D" w:rsidRPr="00B54A75">
        <w:rPr>
          <w:rFonts w:cstheme="minorHAnsi"/>
          <w:b/>
        </w:rPr>
        <w:t xml:space="preserve"> </w:t>
      </w:r>
      <w:r w:rsidR="0076715C" w:rsidRPr="00B54A75">
        <w:rPr>
          <w:rFonts w:cstheme="minorHAnsi"/>
        </w:rPr>
        <w:t>Study included</w:t>
      </w:r>
      <w:r w:rsidR="00687CB0" w:rsidRPr="00B54A75">
        <w:rPr>
          <w:rFonts w:cstheme="minorHAnsi"/>
        </w:rPr>
        <w:t xml:space="preserve"> </w:t>
      </w:r>
      <w:r w:rsidR="00BD13B8">
        <w:rPr>
          <w:rFonts w:cstheme="minorHAnsi"/>
        </w:rPr>
        <w:t>4</w:t>
      </w:r>
      <w:r w:rsidR="00AE3FC7" w:rsidRPr="00B54A75">
        <w:rPr>
          <w:rFonts w:cstheme="minorHAnsi"/>
        </w:rPr>
        <w:t xml:space="preserve"> participants with dementia (analysis was repeated following exclusion of dementia cases</w:t>
      </w:r>
      <w:r w:rsidR="00303DDA">
        <w:rPr>
          <w:rFonts w:cstheme="minorHAnsi"/>
        </w:rPr>
        <w:t xml:space="preserve"> in supplementary analysis</w:t>
      </w:r>
      <w:r w:rsidR="00AE3FC7" w:rsidRPr="00B54A75">
        <w:rPr>
          <w:rFonts w:cstheme="minorHAnsi"/>
        </w:rPr>
        <w:t>)</w:t>
      </w:r>
      <w:r w:rsidR="00546FE4" w:rsidRPr="00B54A75">
        <w:rPr>
          <w:rFonts w:cstheme="minorHAnsi"/>
        </w:rPr>
        <w:t>;</w:t>
      </w:r>
      <w:r w:rsidR="00523469" w:rsidRPr="00B54A75">
        <w:rPr>
          <w:rFonts w:cstheme="minorHAnsi"/>
        </w:rPr>
        <w:t xml:space="preserve"> </w:t>
      </w:r>
      <w:r w:rsidR="003C25D2" w:rsidRPr="00B54A75">
        <w:rPr>
          <w:rFonts w:cstheme="minorHAnsi"/>
          <w:b/>
        </w:rPr>
        <w:t>**</w:t>
      </w:r>
      <w:r w:rsidR="00B1343D" w:rsidRPr="00B54A75">
        <w:rPr>
          <w:rFonts w:cstheme="minorHAnsi"/>
          <w:b/>
        </w:rPr>
        <w:t xml:space="preserve"> </w:t>
      </w:r>
      <w:r w:rsidR="0076715C" w:rsidRPr="00B54A75">
        <w:rPr>
          <w:rFonts w:cstheme="minorHAnsi"/>
        </w:rPr>
        <w:t>Study i</w:t>
      </w:r>
      <w:r w:rsidR="00104A70" w:rsidRPr="00B54A75">
        <w:rPr>
          <w:rFonts w:cstheme="minorHAnsi"/>
        </w:rPr>
        <w:t>ncluded 28 dementia cases (</w:t>
      </w:r>
      <w:r w:rsidR="0076715C" w:rsidRPr="00B54A75">
        <w:rPr>
          <w:rFonts w:cstheme="minorHAnsi"/>
        </w:rPr>
        <w:t>analysis was repeated following exclusion of dementia cases</w:t>
      </w:r>
      <w:r w:rsidR="009957A6">
        <w:rPr>
          <w:rFonts w:cstheme="minorHAnsi"/>
        </w:rPr>
        <w:t xml:space="preserve"> in sensitivity analysis</w:t>
      </w:r>
      <w:r w:rsidR="0076715C" w:rsidRPr="00B54A75">
        <w:rPr>
          <w:rFonts w:cstheme="minorHAnsi"/>
        </w:rPr>
        <w:t>)</w:t>
      </w:r>
      <w:r w:rsidR="00546FE4" w:rsidRPr="00B54A75">
        <w:rPr>
          <w:rFonts w:cstheme="minorHAnsi"/>
        </w:rPr>
        <w:t xml:space="preserve">; </w:t>
      </w:r>
      <w:r w:rsidR="003C25D2" w:rsidRPr="00B54A75">
        <w:rPr>
          <w:rFonts w:cstheme="minorHAnsi"/>
          <w:b/>
        </w:rPr>
        <w:t>††</w:t>
      </w:r>
      <w:r w:rsidR="00546FE4" w:rsidRPr="00B54A75">
        <w:rPr>
          <w:rFonts w:cstheme="minorHAnsi"/>
        </w:rPr>
        <w:t xml:space="preserve"> </w:t>
      </w:r>
      <w:r w:rsidR="00687CB0" w:rsidRPr="00B54A75">
        <w:rPr>
          <w:rFonts w:cstheme="minorHAnsi"/>
        </w:rPr>
        <w:t>Study included 22 dementia or suspected dementia cases (analysis was repeated fo</w:t>
      </w:r>
      <w:r w:rsidR="00CA630B" w:rsidRPr="00B54A75">
        <w:rPr>
          <w:rFonts w:cstheme="minorHAnsi"/>
        </w:rPr>
        <w:t>llowing exclusion of dementia &amp;</w:t>
      </w:r>
      <w:r w:rsidR="00687CB0" w:rsidRPr="00B54A75">
        <w:rPr>
          <w:rFonts w:cstheme="minorHAnsi"/>
        </w:rPr>
        <w:t xml:space="preserve"> suspected dementia cases</w:t>
      </w:r>
      <w:r w:rsidR="00303DDA">
        <w:rPr>
          <w:rFonts w:cstheme="minorHAnsi"/>
        </w:rPr>
        <w:t xml:space="preserve"> in supplementary analysis</w:t>
      </w:r>
      <w:r w:rsidR="00687CB0" w:rsidRPr="00B54A75">
        <w:rPr>
          <w:rFonts w:cstheme="minorHAnsi"/>
        </w:rPr>
        <w:t>)</w:t>
      </w:r>
      <w:r w:rsidR="00546FE4" w:rsidRPr="00B54A75">
        <w:rPr>
          <w:rFonts w:cstheme="minorHAnsi"/>
        </w:rPr>
        <w:t>;</w:t>
      </w:r>
      <w:r w:rsidR="00CA630B" w:rsidRPr="00B54A75">
        <w:rPr>
          <w:rFonts w:cstheme="minorHAnsi"/>
        </w:rPr>
        <w:t xml:space="preserve"> </w:t>
      </w:r>
      <w:r w:rsidR="00E25240" w:rsidRPr="00B54A75">
        <w:rPr>
          <w:rFonts w:cstheme="minorHAnsi"/>
          <w:b/>
        </w:rPr>
        <w:t>↑</w:t>
      </w:r>
      <w:r w:rsidR="006F2F0B" w:rsidRPr="00B54A75">
        <w:t xml:space="preserve"> Greater/Increased</w:t>
      </w:r>
      <w:r w:rsidR="00546FE4" w:rsidRPr="00B54A75">
        <w:t xml:space="preserve">; </w:t>
      </w:r>
      <w:r w:rsidR="00E25240" w:rsidRPr="00B54A75">
        <w:rPr>
          <w:rFonts w:cstheme="minorHAnsi"/>
          <w:b/>
        </w:rPr>
        <w:t>↓</w:t>
      </w:r>
      <w:r w:rsidR="006F2F0B" w:rsidRPr="00B54A75">
        <w:t xml:space="preserve"> Lower/Decreased</w:t>
      </w:r>
      <w:r w:rsidR="00546FE4" w:rsidRPr="00B54A75">
        <w:t>.</w:t>
      </w:r>
    </w:p>
    <w:p w:rsidR="006F2F0B" w:rsidRPr="00B54A75" w:rsidRDefault="006F2F0B" w:rsidP="006F2F0B"/>
    <w:p w:rsidR="00F71ADF" w:rsidRPr="00B54A75" w:rsidRDefault="00F71ADF" w:rsidP="006F2F0B">
      <w:pPr>
        <w:sectPr w:rsidR="00F71ADF" w:rsidRPr="00B54A75" w:rsidSect="00291B3D">
          <w:pgSz w:w="16838" w:h="11906" w:orient="landscape"/>
          <w:pgMar w:top="1440" w:right="1440" w:bottom="1440" w:left="851" w:header="708" w:footer="708" w:gutter="0"/>
          <w:cols w:space="708"/>
          <w:docGrid w:linePitch="360"/>
        </w:sectPr>
      </w:pPr>
    </w:p>
    <w:p w:rsidR="006F2F0B" w:rsidRPr="00B54A75" w:rsidRDefault="006F2F0B" w:rsidP="006F2F0B"/>
    <w:p w:rsidR="00F71ADF" w:rsidRPr="00B54A75" w:rsidRDefault="00F71ADF" w:rsidP="006F2F0B"/>
    <w:p w:rsidR="001B6432" w:rsidRPr="00B54A75" w:rsidRDefault="00F71ADF" w:rsidP="001B6432">
      <w:r w:rsidRPr="00B54A75">
        <w:t>References</w:t>
      </w:r>
    </w:p>
    <w:p w:rsidR="00C73D5C" w:rsidRPr="00C73D5C" w:rsidRDefault="001B6432" w:rsidP="00C73D5C">
      <w:pPr>
        <w:widowControl w:val="0"/>
        <w:autoSpaceDE w:val="0"/>
        <w:autoSpaceDN w:val="0"/>
        <w:adjustRightInd w:val="0"/>
        <w:spacing w:before="100" w:after="100" w:line="240" w:lineRule="auto"/>
        <w:ind w:left="640" w:hanging="640"/>
        <w:rPr>
          <w:rFonts w:ascii="Calibri" w:hAnsi="Calibri" w:cs="Calibri"/>
          <w:noProof/>
          <w:szCs w:val="24"/>
        </w:rPr>
      </w:pPr>
      <w:r w:rsidRPr="00B54A75">
        <w:rPr>
          <w:rFonts w:ascii="Times New Roman" w:eastAsiaTheme="minorEastAsia" w:hAnsi="Times New Roman" w:cs="Times New Roman"/>
          <w:sz w:val="24"/>
          <w:szCs w:val="24"/>
          <w:lang w:eastAsia="en-AU"/>
        </w:rPr>
        <w:fldChar w:fldCharType="begin" w:fldLock="1"/>
      </w:r>
      <w:r w:rsidRPr="00B54A75">
        <w:instrText xml:space="preserve">ADDIN Mendeley Bibliography CSL_BIBLIOGRAPHY </w:instrText>
      </w:r>
      <w:r w:rsidRPr="00B54A75">
        <w:rPr>
          <w:rFonts w:ascii="Times New Roman" w:eastAsiaTheme="minorEastAsia" w:hAnsi="Times New Roman" w:cs="Times New Roman"/>
          <w:sz w:val="24"/>
          <w:szCs w:val="24"/>
          <w:lang w:eastAsia="en-AU"/>
        </w:rPr>
        <w:fldChar w:fldCharType="separate"/>
      </w:r>
      <w:r w:rsidR="00C73D5C" w:rsidRPr="00C73D5C">
        <w:rPr>
          <w:rFonts w:ascii="Calibri" w:hAnsi="Calibri" w:cs="Calibri"/>
          <w:noProof/>
          <w:szCs w:val="24"/>
        </w:rPr>
        <w:t xml:space="preserve">1. </w:t>
      </w:r>
      <w:r w:rsidR="00C73D5C" w:rsidRPr="00C73D5C">
        <w:rPr>
          <w:rFonts w:ascii="Calibri" w:hAnsi="Calibri" w:cs="Calibri"/>
          <w:noProof/>
          <w:szCs w:val="24"/>
        </w:rPr>
        <w:tab/>
        <w:t xml:space="preserve">Tan B, Venketasubramanian N, Vrooman H, et al. (2018) Homocysteine and Cerebral Atrophy: The Epidemiology of Dementia in Singapore Study. </w:t>
      </w:r>
      <w:r w:rsidR="00C73D5C" w:rsidRPr="00C73D5C">
        <w:rPr>
          <w:rFonts w:ascii="Calibri" w:hAnsi="Calibri" w:cs="Calibri"/>
          <w:i/>
          <w:iCs/>
          <w:noProof/>
          <w:szCs w:val="24"/>
        </w:rPr>
        <w:t>J. Alzheimer’s Dis.</w:t>
      </w:r>
      <w:r w:rsidR="00C73D5C" w:rsidRPr="00C73D5C">
        <w:rPr>
          <w:rFonts w:ascii="Calibri" w:hAnsi="Calibri" w:cs="Calibri"/>
          <w:noProof/>
          <w:szCs w:val="24"/>
        </w:rPr>
        <w:t xml:space="preserve"> </w:t>
      </w:r>
      <w:r w:rsidR="00C73D5C" w:rsidRPr="00C73D5C">
        <w:rPr>
          <w:rFonts w:ascii="Calibri" w:hAnsi="Calibri" w:cs="Calibri"/>
          <w:b/>
          <w:bCs/>
          <w:noProof/>
          <w:szCs w:val="24"/>
        </w:rPr>
        <w:t>62</w:t>
      </w:r>
      <w:r w:rsidR="00C73D5C" w:rsidRPr="00C73D5C">
        <w:rPr>
          <w:rFonts w:ascii="Calibri" w:hAnsi="Calibri" w:cs="Calibri"/>
          <w:noProof/>
          <w:szCs w:val="24"/>
        </w:rPr>
        <w:t>, 877–885.</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2. </w:t>
      </w:r>
      <w:r w:rsidRPr="00C73D5C">
        <w:rPr>
          <w:rFonts w:ascii="Calibri" w:hAnsi="Calibri" w:cs="Calibri"/>
          <w:noProof/>
          <w:szCs w:val="24"/>
        </w:rPr>
        <w:tab/>
        <w:t xml:space="preserve">Kobe T, Witte AV, Schnelle A, et al. (2016) Vitamin B-12 concentration, memory performance, and hippocampal structure in patients with mild cognitive impairment. </w:t>
      </w:r>
      <w:r w:rsidRPr="00C73D5C">
        <w:rPr>
          <w:rFonts w:ascii="Calibri" w:hAnsi="Calibri" w:cs="Calibri"/>
          <w:i/>
          <w:iCs/>
          <w:noProof/>
          <w:szCs w:val="24"/>
        </w:rPr>
        <w:t>Am. J. Clin. Nutr.</w:t>
      </w:r>
      <w:r w:rsidRPr="00C73D5C">
        <w:rPr>
          <w:rFonts w:ascii="Calibri" w:hAnsi="Calibri" w:cs="Calibri"/>
          <w:noProof/>
          <w:szCs w:val="24"/>
        </w:rPr>
        <w:t xml:space="preserve"> </w:t>
      </w:r>
      <w:r w:rsidRPr="00C73D5C">
        <w:rPr>
          <w:rFonts w:ascii="Calibri" w:hAnsi="Calibri" w:cs="Calibri"/>
          <w:b/>
          <w:bCs/>
          <w:noProof/>
          <w:szCs w:val="24"/>
        </w:rPr>
        <w:t>103</w:t>
      </w:r>
      <w:r w:rsidRPr="00C73D5C">
        <w:rPr>
          <w:rFonts w:ascii="Calibri" w:hAnsi="Calibri" w:cs="Calibri"/>
          <w:noProof/>
          <w:szCs w:val="24"/>
        </w:rPr>
        <w:t>, 1045–1054.</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3. </w:t>
      </w:r>
      <w:r w:rsidRPr="00C73D5C">
        <w:rPr>
          <w:rFonts w:ascii="Calibri" w:hAnsi="Calibri" w:cs="Calibri"/>
          <w:noProof/>
          <w:szCs w:val="24"/>
        </w:rPr>
        <w:tab/>
        <w:t xml:space="preserve">Hsu J-L, Chen W-H, Bai C-H, et al. (2015) Microstructural white matter tissue characteristics are modulated by homocysteine: a diffusion tensor imaging study. </w:t>
      </w:r>
      <w:r w:rsidRPr="00C73D5C">
        <w:rPr>
          <w:rFonts w:ascii="Calibri" w:hAnsi="Calibri" w:cs="Calibri"/>
          <w:i/>
          <w:iCs/>
          <w:noProof/>
          <w:szCs w:val="24"/>
        </w:rPr>
        <w:t>PLoS One</w:t>
      </w:r>
      <w:r w:rsidRPr="00C73D5C">
        <w:rPr>
          <w:rFonts w:ascii="Calibri" w:hAnsi="Calibri" w:cs="Calibri"/>
          <w:noProof/>
          <w:szCs w:val="24"/>
        </w:rPr>
        <w:t xml:space="preserve"> </w:t>
      </w:r>
      <w:r w:rsidRPr="00C73D5C">
        <w:rPr>
          <w:rFonts w:ascii="Calibri" w:hAnsi="Calibri" w:cs="Calibri"/>
          <w:b/>
          <w:bCs/>
          <w:noProof/>
          <w:szCs w:val="24"/>
        </w:rPr>
        <w:t>10</w:t>
      </w:r>
      <w:r w:rsidRPr="00C73D5C">
        <w:rPr>
          <w:rFonts w:ascii="Calibri" w:hAnsi="Calibri" w:cs="Calibri"/>
          <w:noProof/>
          <w:szCs w:val="24"/>
        </w:rPr>
        <w:t>, e0116330.</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4. </w:t>
      </w:r>
      <w:r w:rsidRPr="00C73D5C">
        <w:rPr>
          <w:rFonts w:ascii="Calibri" w:hAnsi="Calibri" w:cs="Calibri"/>
          <w:noProof/>
          <w:szCs w:val="24"/>
        </w:rPr>
        <w:tab/>
        <w:t xml:space="preserve">Madsen SK, Rajagopalan P, Joshi SH, et al. (2015) Higher homocysteine associated with thinner cortical gray matter in 803 participants from the Alzheimer’s Disease Neuroimaging Initiative. </w:t>
      </w:r>
      <w:r w:rsidRPr="00C73D5C">
        <w:rPr>
          <w:rFonts w:ascii="Calibri" w:hAnsi="Calibri" w:cs="Calibri"/>
          <w:i/>
          <w:iCs/>
          <w:noProof/>
          <w:szCs w:val="24"/>
        </w:rPr>
        <w:t>Neurobiol. Aging</w:t>
      </w:r>
      <w:r w:rsidRPr="00C73D5C">
        <w:rPr>
          <w:rFonts w:ascii="Calibri" w:hAnsi="Calibri" w:cs="Calibri"/>
          <w:noProof/>
          <w:szCs w:val="24"/>
        </w:rPr>
        <w:t xml:space="preserve"> </w:t>
      </w:r>
      <w:r w:rsidRPr="00C73D5C">
        <w:rPr>
          <w:rFonts w:ascii="Calibri" w:hAnsi="Calibri" w:cs="Calibri"/>
          <w:b/>
          <w:bCs/>
          <w:noProof/>
          <w:szCs w:val="24"/>
        </w:rPr>
        <w:t>36</w:t>
      </w:r>
      <w:r w:rsidR="00CD6CEA">
        <w:rPr>
          <w:rFonts w:ascii="Calibri" w:hAnsi="Calibri" w:cs="Calibri"/>
          <w:noProof/>
          <w:szCs w:val="24"/>
        </w:rPr>
        <w:t>, S203–S210</w:t>
      </w:r>
      <w:r w:rsidRPr="00C73D5C">
        <w:rPr>
          <w:rFonts w:ascii="Calibri" w:hAnsi="Calibri" w:cs="Calibri"/>
          <w:noProof/>
          <w:szCs w:val="24"/>
        </w:rPr>
        <w:t>.</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5. </w:t>
      </w:r>
      <w:r w:rsidRPr="00C73D5C">
        <w:rPr>
          <w:rFonts w:ascii="Calibri" w:hAnsi="Calibri" w:cs="Calibri"/>
          <w:noProof/>
          <w:szCs w:val="24"/>
        </w:rPr>
        <w:tab/>
        <w:t xml:space="preserve">Bettcher BM, Watson CL, Walsh CM, et al. (2014) Interleukin-6, age, and corpus callosum integrity. </w:t>
      </w:r>
      <w:r w:rsidRPr="00C73D5C">
        <w:rPr>
          <w:rFonts w:ascii="Calibri" w:hAnsi="Calibri" w:cs="Calibri"/>
          <w:i/>
          <w:iCs/>
          <w:noProof/>
          <w:szCs w:val="24"/>
        </w:rPr>
        <w:t>PLoS One</w:t>
      </w:r>
      <w:r w:rsidRPr="00C73D5C">
        <w:rPr>
          <w:rFonts w:ascii="Calibri" w:hAnsi="Calibri" w:cs="Calibri"/>
          <w:noProof/>
          <w:szCs w:val="24"/>
        </w:rPr>
        <w:t xml:space="preserve"> </w:t>
      </w:r>
      <w:r w:rsidRPr="00C73D5C">
        <w:rPr>
          <w:rFonts w:ascii="Calibri" w:hAnsi="Calibri" w:cs="Calibri"/>
          <w:b/>
          <w:bCs/>
          <w:noProof/>
          <w:szCs w:val="24"/>
        </w:rPr>
        <w:t>9</w:t>
      </w:r>
      <w:r w:rsidRPr="00C73D5C">
        <w:rPr>
          <w:rFonts w:ascii="Calibri" w:hAnsi="Calibri" w:cs="Calibri"/>
          <w:noProof/>
          <w:szCs w:val="24"/>
        </w:rPr>
        <w:t>, e106521.</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6. </w:t>
      </w:r>
      <w:r w:rsidRPr="00C73D5C">
        <w:rPr>
          <w:rFonts w:ascii="Calibri" w:hAnsi="Calibri" w:cs="Calibri"/>
          <w:noProof/>
          <w:szCs w:val="24"/>
        </w:rPr>
        <w:tab/>
        <w:t xml:space="preserve">Feng L, Isaac V, Sim S, et al. (2013) Associations Between Elevated Homocysteine, Cognitive Impairment, and Reduced White Matter Volume in Healthy Old Adults. </w:t>
      </w:r>
      <w:r w:rsidRPr="00C73D5C">
        <w:rPr>
          <w:rFonts w:ascii="Calibri" w:hAnsi="Calibri" w:cs="Calibri"/>
          <w:i/>
          <w:iCs/>
          <w:noProof/>
          <w:szCs w:val="24"/>
        </w:rPr>
        <w:t>Am. J. Geriatr. Psychiatry</w:t>
      </w:r>
      <w:r w:rsidRPr="00C73D5C">
        <w:rPr>
          <w:rFonts w:ascii="Calibri" w:hAnsi="Calibri" w:cs="Calibri"/>
          <w:noProof/>
          <w:szCs w:val="24"/>
        </w:rPr>
        <w:t xml:space="preserve"> </w:t>
      </w:r>
      <w:r w:rsidRPr="00C73D5C">
        <w:rPr>
          <w:rFonts w:ascii="Calibri" w:hAnsi="Calibri" w:cs="Calibri"/>
          <w:b/>
          <w:bCs/>
          <w:noProof/>
          <w:szCs w:val="24"/>
        </w:rPr>
        <w:t>21</w:t>
      </w:r>
      <w:r w:rsidRPr="00C73D5C">
        <w:rPr>
          <w:rFonts w:ascii="Calibri" w:hAnsi="Calibri" w:cs="Calibri"/>
          <w:noProof/>
          <w:szCs w:val="24"/>
        </w:rPr>
        <w:t>, 164–172.</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7. </w:t>
      </w:r>
      <w:r w:rsidRPr="00C73D5C">
        <w:rPr>
          <w:rFonts w:ascii="Calibri" w:hAnsi="Calibri" w:cs="Calibri"/>
          <w:noProof/>
          <w:szCs w:val="24"/>
        </w:rPr>
        <w:tab/>
        <w:t xml:space="preserve">Ford AH, Garrido GJ, Beer C, et al. (2012) Homocysteine, grey matter and cognitive function in adults with cardiovascular disease. </w:t>
      </w:r>
      <w:r w:rsidRPr="00C73D5C">
        <w:rPr>
          <w:rFonts w:ascii="Calibri" w:hAnsi="Calibri" w:cs="Calibri"/>
          <w:i/>
          <w:iCs/>
          <w:noProof/>
          <w:szCs w:val="24"/>
        </w:rPr>
        <w:t>PLoS One</w:t>
      </w:r>
      <w:r w:rsidRPr="00C73D5C">
        <w:rPr>
          <w:rFonts w:ascii="Calibri" w:hAnsi="Calibri" w:cs="Calibri"/>
          <w:noProof/>
          <w:szCs w:val="24"/>
        </w:rPr>
        <w:t xml:space="preserve"> </w:t>
      </w:r>
      <w:r w:rsidRPr="00C73D5C">
        <w:rPr>
          <w:rFonts w:ascii="Calibri" w:hAnsi="Calibri" w:cs="Calibri"/>
          <w:b/>
          <w:bCs/>
          <w:noProof/>
          <w:szCs w:val="24"/>
        </w:rPr>
        <w:t>7</w:t>
      </w:r>
      <w:r w:rsidRPr="00C73D5C">
        <w:rPr>
          <w:rFonts w:ascii="Calibri" w:hAnsi="Calibri" w:cs="Calibri"/>
          <w:noProof/>
          <w:szCs w:val="24"/>
        </w:rPr>
        <w:t>, e33345.</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8. </w:t>
      </w:r>
      <w:r w:rsidRPr="00C73D5C">
        <w:rPr>
          <w:rFonts w:ascii="Calibri" w:hAnsi="Calibri" w:cs="Calibri"/>
          <w:noProof/>
          <w:szCs w:val="24"/>
        </w:rPr>
        <w:tab/>
        <w:t xml:space="preserve">Raz N, Yang Y, Dahle CL, et al. (2012) Volume of white matter hyperintensities in healthy adults: contribution of age, vascular risk factors, and inflammation-related genetic variants. </w:t>
      </w:r>
      <w:r w:rsidRPr="00C73D5C">
        <w:rPr>
          <w:rFonts w:ascii="Calibri" w:hAnsi="Calibri" w:cs="Calibri"/>
          <w:i/>
          <w:iCs/>
          <w:noProof/>
          <w:szCs w:val="24"/>
        </w:rPr>
        <w:t>Biochim. Biophys. Acta</w:t>
      </w:r>
      <w:r w:rsidRPr="00C73D5C">
        <w:rPr>
          <w:rFonts w:ascii="Calibri" w:hAnsi="Calibri" w:cs="Calibri"/>
          <w:noProof/>
          <w:szCs w:val="24"/>
        </w:rPr>
        <w:t xml:space="preserve"> </w:t>
      </w:r>
      <w:r w:rsidRPr="00C73D5C">
        <w:rPr>
          <w:rFonts w:ascii="Calibri" w:hAnsi="Calibri" w:cs="Calibri"/>
          <w:b/>
          <w:bCs/>
          <w:noProof/>
          <w:szCs w:val="24"/>
        </w:rPr>
        <w:t>1822</w:t>
      </w:r>
      <w:r w:rsidRPr="00C73D5C">
        <w:rPr>
          <w:rFonts w:ascii="Calibri" w:hAnsi="Calibri" w:cs="Calibri"/>
          <w:noProof/>
          <w:szCs w:val="24"/>
        </w:rPr>
        <w:t>, 361–369.</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9. </w:t>
      </w:r>
      <w:r w:rsidRPr="00C73D5C">
        <w:rPr>
          <w:rFonts w:ascii="Calibri" w:hAnsi="Calibri" w:cs="Calibri"/>
          <w:noProof/>
          <w:szCs w:val="24"/>
        </w:rPr>
        <w:tab/>
        <w:t>Narayan SK, Firbank MJ, Saxby BK, et al. (2011) Elevated plasma homocysteine is associated with increased brain atrophy rates in older subjects with mild hypertensio</w:t>
      </w:r>
      <w:r w:rsidR="00813F5C">
        <w:rPr>
          <w:rFonts w:ascii="Calibri" w:hAnsi="Calibri" w:cs="Calibri"/>
          <w:noProof/>
          <w:szCs w:val="24"/>
        </w:rPr>
        <w:t>n</w:t>
      </w:r>
      <w:r w:rsidRPr="00C73D5C">
        <w:rPr>
          <w:rFonts w:ascii="Calibri" w:hAnsi="Calibri" w:cs="Calibri"/>
          <w:noProof/>
          <w:szCs w:val="24"/>
        </w:rPr>
        <w:t xml:space="preserve">. </w:t>
      </w:r>
      <w:r w:rsidRPr="00C73D5C">
        <w:rPr>
          <w:rFonts w:ascii="Calibri" w:hAnsi="Calibri" w:cs="Calibri"/>
          <w:i/>
          <w:iCs/>
          <w:noProof/>
          <w:szCs w:val="24"/>
        </w:rPr>
        <w:t>Dement. Geriatr. Cogn. Disord.</w:t>
      </w:r>
      <w:r w:rsidRPr="00C73D5C">
        <w:rPr>
          <w:rFonts w:ascii="Calibri" w:hAnsi="Calibri" w:cs="Calibri"/>
          <w:noProof/>
          <w:szCs w:val="24"/>
        </w:rPr>
        <w:t xml:space="preserve"> </w:t>
      </w:r>
      <w:r w:rsidRPr="00C73D5C">
        <w:rPr>
          <w:rFonts w:ascii="Calibri" w:hAnsi="Calibri" w:cs="Calibri"/>
          <w:b/>
          <w:bCs/>
          <w:noProof/>
          <w:szCs w:val="24"/>
        </w:rPr>
        <w:t>31</w:t>
      </w:r>
      <w:r w:rsidRPr="00C73D5C">
        <w:rPr>
          <w:rFonts w:ascii="Calibri" w:hAnsi="Calibri" w:cs="Calibri"/>
          <w:noProof/>
          <w:szCs w:val="24"/>
        </w:rPr>
        <w:t>, 341–348.</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10. </w:t>
      </w:r>
      <w:r w:rsidRPr="00C73D5C">
        <w:rPr>
          <w:rFonts w:ascii="Calibri" w:hAnsi="Calibri" w:cs="Calibri"/>
          <w:noProof/>
          <w:szCs w:val="24"/>
        </w:rPr>
        <w:tab/>
        <w:t xml:space="preserve">Rajagopalan P, Hua X, Toga AW, et al. (2011) Homocysteine effects on brain volumes mapped in 732 elderly individuals. </w:t>
      </w:r>
      <w:r w:rsidRPr="00C73D5C">
        <w:rPr>
          <w:rFonts w:ascii="Calibri" w:hAnsi="Calibri" w:cs="Calibri"/>
          <w:i/>
          <w:iCs/>
          <w:noProof/>
          <w:szCs w:val="24"/>
        </w:rPr>
        <w:t>Neuroreport</w:t>
      </w:r>
      <w:r w:rsidRPr="00C73D5C">
        <w:rPr>
          <w:rFonts w:ascii="Calibri" w:hAnsi="Calibri" w:cs="Calibri"/>
          <w:noProof/>
          <w:szCs w:val="24"/>
        </w:rPr>
        <w:t xml:space="preserve"> </w:t>
      </w:r>
      <w:r w:rsidRPr="00C73D5C">
        <w:rPr>
          <w:rFonts w:ascii="Calibri" w:hAnsi="Calibri" w:cs="Calibri"/>
          <w:b/>
          <w:bCs/>
          <w:noProof/>
          <w:szCs w:val="24"/>
        </w:rPr>
        <w:t>22</w:t>
      </w:r>
      <w:r w:rsidRPr="00C73D5C">
        <w:rPr>
          <w:rFonts w:ascii="Calibri" w:hAnsi="Calibri" w:cs="Calibri"/>
          <w:noProof/>
          <w:szCs w:val="24"/>
        </w:rPr>
        <w:t>, 391–395.</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11. </w:t>
      </w:r>
      <w:r w:rsidRPr="00C73D5C">
        <w:rPr>
          <w:rFonts w:ascii="Calibri" w:hAnsi="Calibri" w:cs="Calibri"/>
          <w:noProof/>
          <w:szCs w:val="24"/>
        </w:rPr>
        <w:tab/>
        <w:t xml:space="preserve">Tangney CC, Aggarwal NT, Li H, et al. (2011) Vitamin B12, cognition, and brain MRI measures: a cross-sectional examination. </w:t>
      </w:r>
      <w:r w:rsidRPr="00C73D5C">
        <w:rPr>
          <w:rFonts w:ascii="Calibri" w:hAnsi="Calibri" w:cs="Calibri"/>
          <w:i/>
          <w:iCs/>
          <w:noProof/>
          <w:szCs w:val="24"/>
        </w:rPr>
        <w:t>Neurology</w:t>
      </w:r>
      <w:r w:rsidRPr="00C73D5C">
        <w:rPr>
          <w:rFonts w:ascii="Calibri" w:hAnsi="Calibri" w:cs="Calibri"/>
          <w:noProof/>
          <w:szCs w:val="24"/>
        </w:rPr>
        <w:t xml:space="preserve"> </w:t>
      </w:r>
      <w:r w:rsidRPr="00C73D5C">
        <w:rPr>
          <w:rFonts w:ascii="Calibri" w:hAnsi="Calibri" w:cs="Calibri"/>
          <w:b/>
          <w:bCs/>
          <w:noProof/>
          <w:szCs w:val="24"/>
        </w:rPr>
        <w:t>77</w:t>
      </w:r>
      <w:r w:rsidRPr="00C73D5C">
        <w:rPr>
          <w:rFonts w:ascii="Calibri" w:hAnsi="Calibri" w:cs="Calibri"/>
          <w:noProof/>
          <w:szCs w:val="24"/>
        </w:rPr>
        <w:t>, 1276–1282.</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12. </w:t>
      </w:r>
      <w:r w:rsidRPr="00C73D5C">
        <w:rPr>
          <w:rFonts w:ascii="Calibri" w:hAnsi="Calibri" w:cs="Calibri"/>
          <w:noProof/>
          <w:szCs w:val="24"/>
        </w:rPr>
        <w:tab/>
        <w:t xml:space="preserve">Firbank MJ, Narayan SK, Saxby BK, et al. (2010) Homocysteine is associated with hippocampal and white matter atrophy in older subjects with mild hypertension. </w:t>
      </w:r>
      <w:r w:rsidRPr="00C73D5C">
        <w:rPr>
          <w:rFonts w:ascii="Calibri" w:hAnsi="Calibri" w:cs="Calibri"/>
          <w:i/>
          <w:iCs/>
          <w:noProof/>
          <w:szCs w:val="24"/>
        </w:rPr>
        <w:t>Int. Psychogeriatrics</w:t>
      </w:r>
      <w:r w:rsidRPr="00C73D5C">
        <w:rPr>
          <w:rFonts w:ascii="Calibri" w:hAnsi="Calibri" w:cs="Calibri"/>
          <w:noProof/>
          <w:szCs w:val="24"/>
        </w:rPr>
        <w:t xml:space="preserve"> </w:t>
      </w:r>
      <w:r w:rsidRPr="00C73D5C">
        <w:rPr>
          <w:rFonts w:ascii="Calibri" w:hAnsi="Calibri" w:cs="Calibri"/>
          <w:b/>
          <w:bCs/>
          <w:noProof/>
          <w:szCs w:val="24"/>
        </w:rPr>
        <w:t>22</w:t>
      </w:r>
      <w:r w:rsidRPr="00C73D5C">
        <w:rPr>
          <w:rFonts w:ascii="Calibri" w:hAnsi="Calibri" w:cs="Calibri"/>
          <w:noProof/>
          <w:szCs w:val="24"/>
        </w:rPr>
        <w:t>, 804–811.</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13. </w:t>
      </w:r>
      <w:r w:rsidRPr="00C73D5C">
        <w:rPr>
          <w:rFonts w:ascii="Calibri" w:hAnsi="Calibri" w:cs="Calibri"/>
          <w:noProof/>
          <w:szCs w:val="24"/>
        </w:rPr>
        <w:tab/>
        <w:t xml:space="preserve">Chee MWL, Chen KHM, Zheng H, et al. (2009) Cognitive function and brain structure correlations in healthy elderly East Asians. </w:t>
      </w:r>
      <w:r w:rsidRPr="00C73D5C">
        <w:rPr>
          <w:rFonts w:ascii="Calibri" w:hAnsi="Calibri" w:cs="Calibri"/>
          <w:i/>
          <w:iCs/>
          <w:noProof/>
          <w:szCs w:val="24"/>
        </w:rPr>
        <w:t>Neuroimage</w:t>
      </w:r>
      <w:r w:rsidRPr="00C73D5C">
        <w:rPr>
          <w:rFonts w:ascii="Calibri" w:hAnsi="Calibri" w:cs="Calibri"/>
          <w:noProof/>
          <w:szCs w:val="24"/>
        </w:rPr>
        <w:t xml:space="preserve"> </w:t>
      </w:r>
      <w:r w:rsidRPr="00C73D5C">
        <w:rPr>
          <w:rFonts w:ascii="Calibri" w:hAnsi="Calibri" w:cs="Calibri"/>
          <w:b/>
          <w:bCs/>
          <w:noProof/>
          <w:szCs w:val="24"/>
        </w:rPr>
        <w:t>46</w:t>
      </w:r>
      <w:r w:rsidR="00CD6CEA">
        <w:rPr>
          <w:rFonts w:ascii="Calibri" w:hAnsi="Calibri" w:cs="Calibri"/>
          <w:noProof/>
          <w:szCs w:val="24"/>
        </w:rPr>
        <w:t>, 257–269</w:t>
      </w:r>
      <w:r w:rsidRPr="00C73D5C">
        <w:rPr>
          <w:rFonts w:ascii="Calibri" w:hAnsi="Calibri" w:cs="Calibri"/>
          <w:noProof/>
          <w:szCs w:val="24"/>
        </w:rPr>
        <w:t>.</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14. </w:t>
      </w:r>
      <w:r w:rsidRPr="00C73D5C">
        <w:rPr>
          <w:rFonts w:ascii="Calibri" w:hAnsi="Calibri" w:cs="Calibri"/>
          <w:noProof/>
          <w:szCs w:val="24"/>
        </w:rPr>
        <w:tab/>
        <w:t xml:space="preserve">de Lau LML, Smith AD, Refsum H, et al. (2009) Plasma vitamin B12 status and cerebral white-matter lesions. </w:t>
      </w:r>
      <w:r w:rsidRPr="00C73D5C">
        <w:rPr>
          <w:rFonts w:ascii="Calibri" w:hAnsi="Calibri" w:cs="Calibri"/>
          <w:i/>
          <w:iCs/>
          <w:noProof/>
          <w:szCs w:val="24"/>
        </w:rPr>
        <w:t>J. Neurol. Neurosurgery, Psychiatry</w:t>
      </w:r>
      <w:r w:rsidRPr="00C73D5C">
        <w:rPr>
          <w:rFonts w:ascii="Calibri" w:hAnsi="Calibri" w:cs="Calibri"/>
          <w:noProof/>
          <w:szCs w:val="24"/>
        </w:rPr>
        <w:t xml:space="preserve"> </w:t>
      </w:r>
      <w:r w:rsidRPr="00C73D5C">
        <w:rPr>
          <w:rFonts w:ascii="Calibri" w:hAnsi="Calibri" w:cs="Calibri"/>
          <w:b/>
          <w:bCs/>
          <w:noProof/>
          <w:szCs w:val="24"/>
        </w:rPr>
        <w:t>80</w:t>
      </w:r>
      <w:r w:rsidRPr="00C73D5C">
        <w:rPr>
          <w:rFonts w:ascii="Calibri" w:hAnsi="Calibri" w:cs="Calibri"/>
          <w:noProof/>
          <w:szCs w:val="24"/>
        </w:rPr>
        <w:t>, 149–157.</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15. </w:t>
      </w:r>
      <w:r w:rsidRPr="00C73D5C">
        <w:rPr>
          <w:rFonts w:ascii="Calibri" w:hAnsi="Calibri" w:cs="Calibri"/>
          <w:noProof/>
          <w:szCs w:val="24"/>
        </w:rPr>
        <w:tab/>
        <w:t xml:space="preserve">Erickson KI, Suever BL, Prakash RS, et al. (2008) Greater intake of vitamins B6 and B12 spares gray matter in healthy elderly: a voxel-based morphometry study. </w:t>
      </w:r>
      <w:r w:rsidRPr="00C73D5C">
        <w:rPr>
          <w:rFonts w:ascii="Calibri" w:hAnsi="Calibri" w:cs="Calibri"/>
          <w:i/>
          <w:iCs/>
          <w:noProof/>
          <w:szCs w:val="24"/>
        </w:rPr>
        <w:t>Brain Res.</w:t>
      </w:r>
      <w:r w:rsidRPr="00C73D5C">
        <w:rPr>
          <w:rFonts w:ascii="Calibri" w:hAnsi="Calibri" w:cs="Calibri"/>
          <w:noProof/>
          <w:szCs w:val="24"/>
        </w:rPr>
        <w:t xml:space="preserve"> </w:t>
      </w:r>
      <w:r w:rsidRPr="00C73D5C">
        <w:rPr>
          <w:rFonts w:ascii="Calibri" w:hAnsi="Calibri" w:cs="Calibri"/>
          <w:b/>
          <w:bCs/>
          <w:noProof/>
          <w:szCs w:val="24"/>
        </w:rPr>
        <w:t>1199</w:t>
      </w:r>
      <w:r w:rsidRPr="00C73D5C">
        <w:rPr>
          <w:rFonts w:ascii="Calibri" w:hAnsi="Calibri" w:cs="Calibri"/>
          <w:noProof/>
          <w:szCs w:val="24"/>
        </w:rPr>
        <w:t>, 20–26.</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16. </w:t>
      </w:r>
      <w:r w:rsidRPr="00C73D5C">
        <w:rPr>
          <w:rFonts w:ascii="Calibri" w:hAnsi="Calibri" w:cs="Calibri"/>
          <w:noProof/>
          <w:szCs w:val="24"/>
        </w:rPr>
        <w:tab/>
        <w:t xml:space="preserve">Seshadri S, Wolf PA, Beiser AS, et al. (2008) Association of Plasma Total Homocysteine Levels With Subclinical Brain Injury. </w:t>
      </w:r>
      <w:r w:rsidRPr="00C73D5C">
        <w:rPr>
          <w:rFonts w:ascii="Calibri" w:hAnsi="Calibri" w:cs="Calibri"/>
          <w:i/>
          <w:iCs/>
          <w:noProof/>
          <w:szCs w:val="24"/>
        </w:rPr>
        <w:t>Arch. Neurol.</w:t>
      </w:r>
      <w:r w:rsidRPr="00C73D5C">
        <w:rPr>
          <w:rFonts w:ascii="Calibri" w:hAnsi="Calibri" w:cs="Calibri"/>
          <w:noProof/>
          <w:szCs w:val="24"/>
        </w:rPr>
        <w:t xml:space="preserve"> </w:t>
      </w:r>
      <w:r w:rsidRPr="00C73D5C">
        <w:rPr>
          <w:rFonts w:ascii="Calibri" w:hAnsi="Calibri" w:cs="Calibri"/>
          <w:b/>
          <w:bCs/>
          <w:noProof/>
          <w:szCs w:val="24"/>
        </w:rPr>
        <w:t>65</w:t>
      </w:r>
      <w:r w:rsidRPr="00C73D5C">
        <w:rPr>
          <w:rFonts w:ascii="Calibri" w:hAnsi="Calibri" w:cs="Calibri"/>
          <w:noProof/>
          <w:szCs w:val="24"/>
        </w:rPr>
        <w:t>, 642–649.</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17. </w:t>
      </w:r>
      <w:r w:rsidRPr="00C73D5C">
        <w:rPr>
          <w:rFonts w:ascii="Calibri" w:hAnsi="Calibri" w:cs="Calibri"/>
          <w:noProof/>
          <w:szCs w:val="24"/>
        </w:rPr>
        <w:tab/>
        <w:t xml:space="preserve">Vogiatzoglou A, Smith SM &amp; Bradley KM (2008) Vitamin B12 status and rate of brain volume loss in community-dwelling elderly. </w:t>
      </w:r>
      <w:r w:rsidRPr="00C73D5C">
        <w:rPr>
          <w:rFonts w:ascii="Calibri" w:hAnsi="Calibri" w:cs="Calibri"/>
          <w:i/>
          <w:iCs/>
          <w:noProof/>
          <w:szCs w:val="24"/>
        </w:rPr>
        <w:t>Neurology</w:t>
      </w:r>
      <w:r w:rsidRPr="00C73D5C">
        <w:rPr>
          <w:rFonts w:ascii="Calibri" w:hAnsi="Calibri" w:cs="Calibri"/>
          <w:noProof/>
          <w:szCs w:val="24"/>
        </w:rPr>
        <w:t xml:space="preserve"> </w:t>
      </w:r>
      <w:r w:rsidRPr="00C73D5C">
        <w:rPr>
          <w:rFonts w:ascii="Calibri" w:hAnsi="Calibri" w:cs="Calibri"/>
          <w:b/>
          <w:bCs/>
          <w:noProof/>
          <w:szCs w:val="24"/>
        </w:rPr>
        <w:t>71</w:t>
      </w:r>
      <w:r w:rsidRPr="00C73D5C">
        <w:rPr>
          <w:rFonts w:ascii="Calibri" w:hAnsi="Calibri" w:cs="Calibri"/>
          <w:noProof/>
          <w:szCs w:val="24"/>
        </w:rPr>
        <w:t>, 826–832.</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18. </w:t>
      </w:r>
      <w:r w:rsidRPr="00C73D5C">
        <w:rPr>
          <w:rFonts w:ascii="Calibri" w:hAnsi="Calibri" w:cs="Calibri"/>
          <w:noProof/>
          <w:szCs w:val="24"/>
        </w:rPr>
        <w:tab/>
        <w:t xml:space="preserve">Sachdev P, Parslow R, Salonikas C, et al. (2004) Homocysteine and the brain in midadult life: Evidence for an increased risk of leukoaraiosis in men. </w:t>
      </w:r>
      <w:r w:rsidRPr="00C73D5C">
        <w:rPr>
          <w:rFonts w:ascii="Calibri" w:hAnsi="Calibri" w:cs="Calibri"/>
          <w:i/>
          <w:iCs/>
          <w:noProof/>
          <w:szCs w:val="24"/>
        </w:rPr>
        <w:t>Arch. Neurol.</w:t>
      </w:r>
      <w:r w:rsidRPr="00C73D5C">
        <w:rPr>
          <w:rFonts w:ascii="Calibri" w:hAnsi="Calibri" w:cs="Calibri"/>
          <w:noProof/>
          <w:szCs w:val="24"/>
        </w:rPr>
        <w:t xml:space="preserve"> </w:t>
      </w:r>
      <w:r w:rsidRPr="00C73D5C">
        <w:rPr>
          <w:rFonts w:ascii="Calibri" w:hAnsi="Calibri" w:cs="Calibri"/>
          <w:b/>
          <w:bCs/>
          <w:noProof/>
          <w:szCs w:val="24"/>
        </w:rPr>
        <w:t>61</w:t>
      </w:r>
      <w:r w:rsidRPr="00C73D5C">
        <w:rPr>
          <w:rFonts w:ascii="Calibri" w:hAnsi="Calibri" w:cs="Calibri"/>
          <w:noProof/>
          <w:szCs w:val="24"/>
        </w:rPr>
        <w:t>, 1369–1376.</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lastRenderedPageBreak/>
        <w:t xml:space="preserve">19. </w:t>
      </w:r>
      <w:r w:rsidRPr="00C73D5C">
        <w:rPr>
          <w:rFonts w:ascii="Calibri" w:hAnsi="Calibri" w:cs="Calibri"/>
          <w:noProof/>
          <w:szCs w:val="24"/>
        </w:rPr>
        <w:tab/>
        <w:t xml:space="preserve">den Heijer T, Vermeer SE, Clarke R, et al. (2003) Homocysteine and brain atrophy on MRI of non-demented elderly. </w:t>
      </w:r>
      <w:r w:rsidRPr="00C73D5C">
        <w:rPr>
          <w:rFonts w:ascii="Calibri" w:hAnsi="Calibri" w:cs="Calibri"/>
          <w:i/>
          <w:iCs/>
          <w:noProof/>
          <w:szCs w:val="24"/>
        </w:rPr>
        <w:t>Brain</w:t>
      </w:r>
      <w:r w:rsidRPr="00C73D5C">
        <w:rPr>
          <w:rFonts w:ascii="Calibri" w:hAnsi="Calibri" w:cs="Calibri"/>
          <w:noProof/>
          <w:szCs w:val="24"/>
        </w:rPr>
        <w:t xml:space="preserve"> </w:t>
      </w:r>
      <w:r w:rsidRPr="00C73D5C">
        <w:rPr>
          <w:rFonts w:ascii="Calibri" w:hAnsi="Calibri" w:cs="Calibri"/>
          <w:b/>
          <w:bCs/>
          <w:noProof/>
          <w:szCs w:val="24"/>
        </w:rPr>
        <w:t>126</w:t>
      </w:r>
      <w:r w:rsidRPr="00C73D5C">
        <w:rPr>
          <w:rFonts w:ascii="Calibri" w:hAnsi="Calibri" w:cs="Calibri"/>
          <w:noProof/>
          <w:szCs w:val="24"/>
        </w:rPr>
        <w:t>, 170–175.</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20. </w:t>
      </w:r>
      <w:r w:rsidRPr="00C73D5C">
        <w:rPr>
          <w:rFonts w:ascii="Calibri" w:hAnsi="Calibri" w:cs="Calibri"/>
          <w:noProof/>
          <w:szCs w:val="24"/>
        </w:rPr>
        <w:tab/>
        <w:t xml:space="preserve">Whalley LJ, Staff RT, Murray AD, et al. (2003) Plasma vitamin C, cholesterol and homocysteine are associated with grey matter volume determined by MRI in non-demented old people. </w:t>
      </w:r>
      <w:r w:rsidRPr="00C73D5C">
        <w:rPr>
          <w:rFonts w:ascii="Calibri" w:hAnsi="Calibri" w:cs="Calibri"/>
          <w:i/>
          <w:iCs/>
          <w:noProof/>
          <w:szCs w:val="24"/>
        </w:rPr>
        <w:t>Neurosci. Lett.</w:t>
      </w:r>
      <w:r w:rsidRPr="00C73D5C">
        <w:rPr>
          <w:rFonts w:ascii="Calibri" w:hAnsi="Calibri" w:cs="Calibri"/>
          <w:noProof/>
          <w:szCs w:val="24"/>
        </w:rPr>
        <w:t xml:space="preserve"> </w:t>
      </w:r>
      <w:r w:rsidRPr="00C73D5C">
        <w:rPr>
          <w:rFonts w:ascii="Calibri" w:hAnsi="Calibri" w:cs="Calibri"/>
          <w:b/>
          <w:bCs/>
          <w:noProof/>
          <w:szCs w:val="24"/>
        </w:rPr>
        <w:t>341</w:t>
      </w:r>
      <w:r w:rsidRPr="00C73D5C">
        <w:rPr>
          <w:rFonts w:ascii="Calibri" w:hAnsi="Calibri" w:cs="Calibri"/>
          <w:noProof/>
          <w:szCs w:val="24"/>
        </w:rPr>
        <w:t>, 173–176.</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21. </w:t>
      </w:r>
      <w:r w:rsidRPr="00C73D5C">
        <w:rPr>
          <w:rFonts w:ascii="Calibri" w:hAnsi="Calibri" w:cs="Calibri"/>
          <w:noProof/>
          <w:szCs w:val="24"/>
        </w:rPr>
        <w:tab/>
        <w:t xml:space="preserve">Sachdev PS, Valenzuela M, Wang XL, et al. (2002) Relationship between plasma homocysteine levels and brain atrophy in healthy elderly individuals. </w:t>
      </w:r>
      <w:r w:rsidRPr="00C73D5C">
        <w:rPr>
          <w:rFonts w:ascii="Calibri" w:hAnsi="Calibri" w:cs="Calibri"/>
          <w:i/>
          <w:iCs/>
          <w:noProof/>
          <w:szCs w:val="24"/>
        </w:rPr>
        <w:t>Neurology</w:t>
      </w:r>
      <w:r w:rsidRPr="00C73D5C">
        <w:rPr>
          <w:rFonts w:ascii="Calibri" w:hAnsi="Calibri" w:cs="Calibri"/>
          <w:noProof/>
          <w:szCs w:val="24"/>
        </w:rPr>
        <w:t xml:space="preserve"> </w:t>
      </w:r>
      <w:r w:rsidRPr="00C73D5C">
        <w:rPr>
          <w:rFonts w:ascii="Calibri" w:hAnsi="Calibri" w:cs="Calibri"/>
          <w:b/>
          <w:bCs/>
          <w:noProof/>
          <w:szCs w:val="24"/>
        </w:rPr>
        <w:t>58</w:t>
      </w:r>
      <w:r w:rsidRPr="00C73D5C">
        <w:rPr>
          <w:rFonts w:ascii="Calibri" w:hAnsi="Calibri" w:cs="Calibri"/>
          <w:noProof/>
          <w:szCs w:val="24"/>
        </w:rPr>
        <w:t>, 1539–1541.</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22. </w:t>
      </w:r>
      <w:r w:rsidRPr="00C73D5C">
        <w:rPr>
          <w:rFonts w:ascii="Calibri" w:hAnsi="Calibri" w:cs="Calibri"/>
          <w:noProof/>
          <w:szCs w:val="24"/>
        </w:rPr>
        <w:tab/>
        <w:t xml:space="preserve">Vermeer SE, van Dijk EJ, Koudstaal PJ, et al. (2002) Homocysteine, silent brain infarcts, and white matter lesions: The Rotterdam Scan Study. </w:t>
      </w:r>
      <w:r w:rsidRPr="00C73D5C">
        <w:rPr>
          <w:rFonts w:ascii="Calibri" w:hAnsi="Calibri" w:cs="Calibri"/>
          <w:i/>
          <w:iCs/>
          <w:noProof/>
          <w:szCs w:val="24"/>
        </w:rPr>
        <w:t>Ann. Neurol.</w:t>
      </w:r>
      <w:r w:rsidRPr="00C73D5C">
        <w:rPr>
          <w:rFonts w:ascii="Calibri" w:hAnsi="Calibri" w:cs="Calibri"/>
          <w:noProof/>
          <w:szCs w:val="24"/>
        </w:rPr>
        <w:t xml:space="preserve"> </w:t>
      </w:r>
      <w:r w:rsidRPr="00C73D5C">
        <w:rPr>
          <w:rFonts w:ascii="Calibri" w:hAnsi="Calibri" w:cs="Calibri"/>
          <w:b/>
          <w:bCs/>
          <w:noProof/>
          <w:szCs w:val="24"/>
        </w:rPr>
        <w:t>51</w:t>
      </w:r>
      <w:r w:rsidRPr="00C73D5C">
        <w:rPr>
          <w:rFonts w:ascii="Calibri" w:hAnsi="Calibri" w:cs="Calibri"/>
          <w:noProof/>
          <w:szCs w:val="24"/>
        </w:rPr>
        <w:t>, 285–289.</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23. </w:t>
      </w:r>
      <w:r w:rsidRPr="00C73D5C">
        <w:rPr>
          <w:rFonts w:ascii="Calibri" w:hAnsi="Calibri" w:cs="Calibri"/>
          <w:noProof/>
          <w:szCs w:val="24"/>
        </w:rPr>
        <w:tab/>
        <w:t xml:space="preserve">Williams JH, Periera EAC, Budge MM, et al. (2002) Minimal hippocampal width relates to plasma homocysteine in community-dwelling older people. </w:t>
      </w:r>
      <w:r w:rsidRPr="00C73D5C">
        <w:rPr>
          <w:rFonts w:ascii="Calibri" w:hAnsi="Calibri" w:cs="Calibri"/>
          <w:i/>
          <w:iCs/>
          <w:noProof/>
          <w:szCs w:val="24"/>
        </w:rPr>
        <w:t>Age Ageing</w:t>
      </w:r>
      <w:r w:rsidRPr="00C73D5C">
        <w:rPr>
          <w:rFonts w:ascii="Calibri" w:hAnsi="Calibri" w:cs="Calibri"/>
          <w:noProof/>
          <w:szCs w:val="24"/>
        </w:rPr>
        <w:t xml:space="preserve"> </w:t>
      </w:r>
      <w:r w:rsidRPr="00C73D5C">
        <w:rPr>
          <w:rFonts w:ascii="Calibri" w:hAnsi="Calibri" w:cs="Calibri"/>
          <w:b/>
          <w:bCs/>
          <w:noProof/>
          <w:szCs w:val="24"/>
        </w:rPr>
        <w:t>31</w:t>
      </w:r>
      <w:r w:rsidRPr="00C73D5C">
        <w:rPr>
          <w:rFonts w:ascii="Calibri" w:hAnsi="Calibri" w:cs="Calibri"/>
          <w:noProof/>
          <w:szCs w:val="24"/>
        </w:rPr>
        <w:t>, 440–444.</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24. </w:t>
      </w:r>
      <w:r w:rsidRPr="00C73D5C">
        <w:rPr>
          <w:rFonts w:ascii="Calibri" w:hAnsi="Calibri" w:cs="Calibri"/>
          <w:noProof/>
          <w:szCs w:val="24"/>
        </w:rPr>
        <w:tab/>
        <w:t xml:space="preserve">Poly C, Massaro JM, Seshadri S, et al. (2011) The relation of dietary choline to cognitive performance and white-matter hyperintensity in the Framingham Offspring Cohort. </w:t>
      </w:r>
      <w:r w:rsidRPr="00C73D5C">
        <w:rPr>
          <w:rFonts w:ascii="Calibri" w:hAnsi="Calibri" w:cs="Calibri"/>
          <w:i/>
          <w:iCs/>
          <w:noProof/>
          <w:szCs w:val="24"/>
        </w:rPr>
        <w:t>Am. J. Clin. Nutr.</w:t>
      </w:r>
      <w:r w:rsidRPr="00C73D5C">
        <w:rPr>
          <w:rFonts w:ascii="Calibri" w:hAnsi="Calibri" w:cs="Calibri"/>
          <w:noProof/>
          <w:szCs w:val="24"/>
        </w:rPr>
        <w:t xml:space="preserve"> </w:t>
      </w:r>
      <w:r w:rsidRPr="00C73D5C">
        <w:rPr>
          <w:rFonts w:ascii="Calibri" w:hAnsi="Calibri" w:cs="Calibri"/>
          <w:b/>
          <w:bCs/>
          <w:noProof/>
          <w:szCs w:val="24"/>
        </w:rPr>
        <w:t>94</w:t>
      </w:r>
      <w:r w:rsidRPr="00C73D5C">
        <w:rPr>
          <w:rFonts w:ascii="Calibri" w:hAnsi="Calibri" w:cs="Calibri"/>
          <w:noProof/>
          <w:szCs w:val="24"/>
        </w:rPr>
        <w:t>, 1584–1591.</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25. </w:t>
      </w:r>
      <w:r w:rsidRPr="00C73D5C">
        <w:rPr>
          <w:rFonts w:ascii="Calibri" w:hAnsi="Calibri" w:cs="Calibri"/>
          <w:noProof/>
          <w:szCs w:val="24"/>
        </w:rPr>
        <w:tab/>
        <w:t xml:space="preserve">Zamroziewicz MK, Paul EJ, Zwilling CE, et al. (2017) Predictors of memory in healthy aging: Polyunsaturated fatty acid balance and fornix white matter integrity. </w:t>
      </w:r>
      <w:r w:rsidRPr="00C73D5C">
        <w:rPr>
          <w:rFonts w:ascii="Calibri" w:hAnsi="Calibri" w:cs="Calibri"/>
          <w:i/>
          <w:iCs/>
          <w:noProof/>
          <w:szCs w:val="24"/>
        </w:rPr>
        <w:t>Aging Dis.</w:t>
      </w:r>
      <w:r w:rsidRPr="00C73D5C">
        <w:rPr>
          <w:rFonts w:ascii="Calibri" w:hAnsi="Calibri" w:cs="Calibri"/>
          <w:noProof/>
          <w:szCs w:val="24"/>
        </w:rPr>
        <w:t xml:space="preserve"> </w:t>
      </w:r>
      <w:r w:rsidRPr="00C73D5C">
        <w:rPr>
          <w:rFonts w:ascii="Calibri" w:hAnsi="Calibri" w:cs="Calibri"/>
          <w:b/>
          <w:bCs/>
          <w:noProof/>
          <w:szCs w:val="24"/>
        </w:rPr>
        <w:t>8</w:t>
      </w:r>
      <w:r w:rsidRPr="00C73D5C">
        <w:rPr>
          <w:rFonts w:ascii="Calibri" w:hAnsi="Calibri" w:cs="Calibri"/>
          <w:noProof/>
          <w:szCs w:val="24"/>
        </w:rPr>
        <w:t>, 372–383.</w:t>
      </w:r>
    </w:p>
    <w:p w:rsidR="00C73D5C" w:rsidRPr="00C73D5C" w:rsidRDefault="00813F5C" w:rsidP="00C73D5C">
      <w:pPr>
        <w:widowControl w:val="0"/>
        <w:autoSpaceDE w:val="0"/>
        <w:autoSpaceDN w:val="0"/>
        <w:adjustRightInd w:val="0"/>
        <w:spacing w:before="100" w:after="100" w:line="240" w:lineRule="auto"/>
        <w:ind w:left="640" w:hanging="640"/>
        <w:rPr>
          <w:rFonts w:ascii="Calibri" w:hAnsi="Calibri" w:cs="Calibri"/>
          <w:noProof/>
          <w:szCs w:val="24"/>
        </w:rPr>
      </w:pPr>
      <w:r>
        <w:rPr>
          <w:rFonts w:ascii="Calibri" w:hAnsi="Calibri" w:cs="Calibri"/>
          <w:noProof/>
          <w:szCs w:val="24"/>
        </w:rPr>
        <w:t xml:space="preserve">26. </w:t>
      </w:r>
      <w:r>
        <w:rPr>
          <w:rFonts w:ascii="Calibri" w:hAnsi="Calibri" w:cs="Calibri"/>
          <w:noProof/>
          <w:szCs w:val="24"/>
        </w:rPr>
        <w:tab/>
        <w:t>Daiello LA</w:t>
      </w:r>
      <w:r w:rsidR="00C73D5C" w:rsidRPr="00C73D5C">
        <w:rPr>
          <w:rFonts w:ascii="Calibri" w:hAnsi="Calibri" w:cs="Calibri"/>
          <w:noProof/>
          <w:szCs w:val="24"/>
        </w:rPr>
        <w:t xml:space="preserve">, Gongvatana A, Dunsiger S, et al. (2015) Association of fish oil supplement use with preservation of brain volume and cognitive function. </w:t>
      </w:r>
      <w:r w:rsidR="00C73D5C" w:rsidRPr="00C73D5C">
        <w:rPr>
          <w:rFonts w:ascii="Calibri" w:hAnsi="Calibri" w:cs="Calibri"/>
          <w:i/>
          <w:iCs/>
          <w:noProof/>
          <w:szCs w:val="24"/>
        </w:rPr>
        <w:t>Alzheimer’s Dement.</w:t>
      </w:r>
      <w:r w:rsidR="00C73D5C" w:rsidRPr="00C73D5C">
        <w:rPr>
          <w:rFonts w:ascii="Calibri" w:hAnsi="Calibri" w:cs="Calibri"/>
          <w:noProof/>
          <w:szCs w:val="24"/>
        </w:rPr>
        <w:t xml:space="preserve"> </w:t>
      </w:r>
      <w:r w:rsidR="00C73D5C" w:rsidRPr="00C73D5C">
        <w:rPr>
          <w:rFonts w:ascii="Calibri" w:hAnsi="Calibri" w:cs="Calibri"/>
          <w:b/>
          <w:bCs/>
          <w:noProof/>
          <w:szCs w:val="24"/>
        </w:rPr>
        <w:t>11</w:t>
      </w:r>
      <w:r w:rsidR="00C73D5C" w:rsidRPr="00C73D5C">
        <w:rPr>
          <w:rFonts w:ascii="Calibri" w:hAnsi="Calibri" w:cs="Calibri"/>
          <w:noProof/>
          <w:szCs w:val="24"/>
        </w:rPr>
        <w:t>, 226–235.</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27. </w:t>
      </w:r>
      <w:r w:rsidRPr="00C73D5C">
        <w:rPr>
          <w:rFonts w:ascii="Calibri" w:hAnsi="Calibri" w:cs="Calibri"/>
          <w:noProof/>
          <w:szCs w:val="24"/>
        </w:rPr>
        <w:tab/>
        <w:t xml:space="preserve">Pottala J, Yaffe K, Robinson JG, et al. (2014) Higher RBC EPA + DHA corresponds with larger total brain and hippocampal volumes: WHIMS-MRI study. </w:t>
      </w:r>
      <w:r w:rsidRPr="00C73D5C">
        <w:rPr>
          <w:rFonts w:ascii="Calibri" w:hAnsi="Calibri" w:cs="Calibri"/>
          <w:i/>
          <w:iCs/>
          <w:noProof/>
          <w:szCs w:val="24"/>
        </w:rPr>
        <w:t>Neurology</w:t>
      </w:r>
      <w:r w:rsidRPr="00C73D5C">
        <w:rPr>
          <w:rFonts w:ascii="Calibri" w:hAnsi="Calibri" w:cs="Calibri"/>
          <w:noProof/>
          <w:szCs w:val="24"/>
        </w:rPr>
        <w:t xml:space="preserve"> </w:t>
      </w:r>
      <w:r w:rsidRPr="00C73D5C">
        <w:rPr>
          <w:rFonts w:ascii="Calibri" w:hAnsi="Calibri" w:cs="Calibri"/>
          <w:b/>
          <w:bCs/>
          <w:noProof/>
          <w:szCs w:val="24"/>
        </w:rPr>
        <w:t>82</w:t>
      </w:r>
      <w:r w:rsidRPr="00C73D5C">
        <w:rPr>
          <w:rFonts w:ascii="Calibri" w:hAnsi="Calibri" w:cs="Calibri"/>
          <w:noProof/>
          <w:szCs w:val="24"/>
        </w:rPr>
        <w:t>, 435–442.</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28. </w:t>
      </w:r>
      <w:r w:rsidRPr="00C73D5C">
        <w:rPr>
          <w:rFonts w:ascii="Calibri" w:hAnsi="Calibri" w:cs="Calibri"/>
          <w:noProof/>
          <w:szCs w:val="24"/>
        </w:rPr>
        <w:tab/>
        <w:t xml:space="preserve">Walhovd KB, Storsve AB, Westlye LT, et al. (2014) Blood markers of fatty acids and vitamin D, cardiovascular measures, body mass index, and physical activity relate to longitudinal cortical thinning in normal aging. </w:t>
      </w:r>
      <w:r w:rsidRPr="00C73D5C">
        <w:rPr>
          <w:rFonts w:ascii="Calibri" w:hAnsi="Calibri" w:cs="Calibri"/>
          <w:i/>
          <w:iCs/>
          <w:noProof/>
          <w:szCs w:val="24"/>
        </w:rPr>
        <w:t>Neurobiol. Aging</w:t>
      </w:r>
      <w:r w:rsidRPr="00C73D5C">
        <w:rPr>
          <w:rFonts w:ascii="Calibri" w:hAnsi="Calibri" w:cs="Calibri"/>
          <w:noProof/>
          <w:szCs w:val="24"/>
        </w:rPr>
        <w:t xml:space="preserve"> </w:t>
      </w:r>
      <w:r w:rsidRPr="00C73D5C">
        <w:rPr>
          <w:rFonts w:ascii="Calibri" w:hAnsi="Calibri" w:cs="Calibri"/>
          <w:b/>
          <w:bCs/>
          <w:noProof/>
          <w:szCs w:val="24"/>
        </w:rPr>
        <w:t>35</w:t>
      </w:r>
      <w:r w:rsidR="00CD6CEA">
        <w:rPr>
          <w:rFonts w:ascii="Calibri" w:hAnsi="Calibri" w:cs="Calibri"/>
          <w:noProof/>
          <w:szCs w:val="24"/>
        </w:rPr>
        <w:t>, 1055–1064</w:t>
      </w:r>
      <w:r w:rsidRPr="00C73D5C">
        <w:rPr>
          <w:rFonts w:ascii="Calibri" w:hAnsi="Calibri" w:cs="Calibri"/>
          <w:noProof/>
          <w:szCs w:val="24"/>
        </w:rPr>
        <w:t>.</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29. </w:t>
      </w:r>
      <w:r w:rsidRPr="00C73D5C">
        <w:rPr>
          <w:rFonts w:ascii="Calibri" w:hAnsi="Calibri" w:cs="Calibri"/>
          <w:noProof/>
          <w:szCs w:val="24"/>
        </w:rPr>
        <w:tab/>
        <w:t xml:space="preserve">Bowman GL, Dodge HH, Mattek N, et al. (2013) Plasma omega-3 PUFA and white matter mediated executive decline in older adults. </w:t>
      </w:r>
      <w:r w:rsidRPr="00C73D5C">
        <w:rPr>
          <w:rFonts w:ascii="Calibri" w:hAnsi="Calibri" w:cs="Calibri"/>
          <w:i/>
          <w:iCs/>
          <w:noProof/>
          <w:szCs w:val="24"/>
        </w:rPr>
        <w:t>Front. Aging Neurosci.</w:t>
      </w:r>
      <w:r w:rsidRPr="00C73D5C">
        <w:rPr>
          <w:rFonts w:ascii="Calibri" w:hAnsi="Calibri" w:cs="Calibri"/>
          <w:noProof/>
          <w:szCs w:val="24"/>
        </w:rPr>
        <w:t xml:space="preserve"> </w:t>
      </w:r>
      <w:r w:rsidRPr="00C73D5C">
        <w:rPr>
          <w:rFonts w:ascii="Calibri" w:hAnsi="Calibri" w:cs="Calibri"/>
          <w:b/>
          <w:bCs/>
          <w:noProof/>
          <w:szCs w:val="24"/>
        </w:rPr>
        <w:t>5</w:t>
      </w:r>
      <w:r w:rsidRPr="00C73D5C">
        <w:rPr>
          <w:rFonts w:ascii="Calibri" w:hAnsi="Calibri" w:cs="Calibri"/>
          <w:noProof/>
          <w:szCs w:val="24"/>
        </w:rPr>
        <w:t>, 92.</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30. </w:t>
      </w:r>
      <w:r w:rsidRPr="00C73D5C">
        <w:rPr>
          <w:rFonts w:ascii="Calibri" w:hAnsi="Calibri" w:cs="Calibri"/>
          <w:noProof/>
          <w:szCs w:val="24"/>
        </w:rPr>
        <w:tab/>
        <w:t xml:space="preserve">Titova OE, Sjögren P, Brooks SJ, et al. (2013) Dietary intake of eicosapentaenoic and docosahexaenoic acids is linked to gray matter volume and cognitive function in elderly. </w:t>
      </w:r>
      <w:r w:rsidR="008251F9">
        <w:rPr>
          <w:rFonts w:ascii="Calibri" w:hAnsi="Calibri" w:cs="Calibri"/>
          <w:i/>
          <w:iCs/>
          <w:noProof/>
          <w:szCs w:val="24"/>
        </w:rPr>
        <w:t>Age</w:t>
      </w:r>
      <w:r w:rsidRPr="00C73D5C">
        <w:rPr>
          <w:rFonts w:ascii="Calibri" w:hAnsi="Calibri" w:cs="Calibri"/>
          <w:noProof/>
          <w:szCs w:val="24"/>
        </w:rPr>
        <w:t xml:space="preserve"> </w:t>
      </w:r>
      <w:r w:rsidRPr="00C73D5C">
        <w:rPr>
          <w:rFonts w:ascii="Calibri" w:hAnsi="Calibri" w:cs="Calibri"/>
          <w:b/>
          <w:bCs/>
          <w:noProof/>
          <w:szCs w:val="24"/>
        </w:rPr>
        <w:t>35</w:t>
      </w:r>
      <w:r w:rsidRPr="00C73D5C">
        <w:rPr>
          <w:rFonts w:ascii="Calibri" w:hAnsi="Calibri" w:cs="Calibri"/>
          <w:noProof/>
          <w:szCs w:val="24"/>
        </w:rPr>
        <w:t>, 1495–1505.</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31. </w:t>
      </w:r>
      <w:r w:rsidRPr="00C73D5C">
        <w:rPr>
          <w:rFonts w:ascii="Calibri" w:hAnsi="Calibri" w:cs="Calibri"/>
          <w:noProof/>
          <w:szCs w:val="24"/>
        </w:rPr>
        <w:tab/>
        <w:t xml:space="preserve">Samieri C, Maillard P, Crivello F, et al. (2012) Plasma long-chain omega-3 fatty acids and atrophy of the medial temporal lobe. </w:t>
      </w:r>
      <w:r w:rsidRPr="00C73D5C">
        <w:rPr>
          <w:rFonts w:ascii="Calibri" w:hAnsi="Calibri" w:cs="Calibri"/>
          <w:i/>
          <w:iCs/>
          <w:noProof/>
          <w:szCs w:val="24"/>
        </w:rPr>
        <w:t>Neurology</w:t>
      </w:r>
      <w:r w:rsidRPr="00C73D5C">
        <w:rPr>
          <w:rFonts w:ascii="Calibri" w:hAnsi="Calibri" w:cs="Calibri"/>
          <w:noProof/>
          <w:szCs w:val="24"/>
        </w:rPr>
        <w:t xml:space="preserve"> </w:t>
      </w:r>
      <w:r w:rsidRPr="00C73D5C">
        <w:rPr>
          <w:rFonts w:ascii="Calibri" w:hAnsi="Calibri" w:cs="Calibri"/>
          <w:b/>
          <w:bCs/>
          <w:noProof/>
          <w:szCs w:val="24"/>
        </w:rPr>
        <w:t>79</w:t>
      </w:r>
      <w:r w:rsidRPr="00C73D5C">
        <w:rPr>
          <w:rFonts w:ascii="Calibri" w:hAnsi="Calibri" w:cs="Calibri"/>
          <w:noProof/>
          <w:szCs w:val="24"/>
        </w:rPr>
        <w:t>, 642–650.</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32. </w:t>
      </w:r>
      <w:r w:rsidRPr="00C73D5C">
        <w:rPr>
          <w:rFonts w:ascii="Calibri" w:hAnsi="Calibri" w:cs="Calibri"/>
          <w:noProof/>
          <w:szCs w:val="24"/>
        </w:rPr>
        <w:tab/>
        <w:t xml:space="preserve">Tan ZS, Harris WS, Beiser AS, et al. (2012) Red blood cell omega-3 fatty acid levels and markers of accelerated brain aging. </w:t>
      </w:r>
      <w:r w:rsidRPr="00C73D5C">
        <w:rPr>
          <w:rFonts w:ascii="Calibri" w:hAnsi="Calibri" w:cs="Calibri"/>
          <w:i/>
          <w:iCs/>
          <w:noProof/>
          <w:szCs w:val="24"/>
        </w:rPr>
        <w:t>Neurology</w:t>
      </w:r>
      <w:r w:rsidRPr="00C73D5C">
        <w:rPr>
          <w:rFonts w:ascii="Calibri" w:hAnsi="Calibri" w:cs="Calibri"/>
          <w:noProof/>
          <w:szCs w:val="24"/>
        </w:rPr>
        <w:t xml:space="preserve"> </w:t>
      </w:r>
      <w:r w:rsidRPr="00C73D5C">
        <w:rPr>
          <w:rFonts w:ascii="Calibri" w:hAnsi="Calibri" w:cs="Calibri"/>
          <w:b/>
          <w:bCs/>
          <w:noProof/>
          <w:szCs w:val="24"/>
        </w:rPr>
        <w:t>78</w:t>
      </w:r>
      <w:r w:rsidRPr="00C73D5C">
        <w:rPr>
          <w:rFonts w:ascii="Calibri" w:hAnsi="Calibri" w:cs="Calibri"/>
          <w:noProof/>
          <w:szCs w:val="24"/>
        </w:rPr>
        <w:t>, 658–664.</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33. </w:t>
      </w:r>
      <w:r w:rsidRPr="00C73D5C">
        <w:rPr>
          <w:rFonts w:ascii="Calibri" w:hAnsi="Calibri" w:cs="Calibri"/>
          <w:noProof/>
          <w:szCs w:val="24"/>
        </w:rPr>
        <w:tab/>
        <w:t xml:space="preserve">Karakis I, Pase MP, Beiser A, et al. (2016) Association of Serum Vitamin D with the Risk of Incident Dementia and Subclinical Indices of Brain Aging: The Framingham Heart Study. </w:t>
      </w:r>
      <w:r w:rsidRPr="00C73D5C">
        <w:rPr>
          <w:rFonts w:ascii="Calibri" w:hAnsi="Calibri" w:cs="Calibri"/>
          <w:i/>
          <w:iCs/>
          <w:noProof/>
          <w:szCs w:val="24"/>
        </w:rPr>
        <w:t>J. Alzheimer’s Dis.</w:t>
      </w:r>
      <w:r w:rsidRPr="00C73D5C">
        <w:rPr>
          <w:rFonts w:ascii="Calibri" w:hAnsi="Calibri" w:cs="Calibri"/>
          <w:noProof/>
          <w:szCs w:val="24"/>
        </w:rPr>
        <w:t xml:space="preserve"> </w:t>
      </w:r>
      <w:r w:rsidRPr="00C73D5C">
        <w:rPr>
          <w:rFonts w:ascii="Calibri" w:hAnsi="Calibri" w:cs="Calibri"/>
          <w:b/>
          <w:bCs/>
          <w:noProof/>
          <w:szCs w:val="24"/>
        </w:rPr>
        <w:t>51</w:t>
      </w:r>
      <w:r w:rsidRPr="00C73D5C">
        <w:rPr>
          <w:rFonts w:ascii="Calibri" w:hAnsi="Calibri" w:cs="Calibri"/>
          <w:noProof/>
          <w:szCs w:val="24"/>
        </w:rPr>
        <w:t>, 451–461.</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34. </w:t>
      </w:r>
      <w:r w:rsidRPr="00C73D5C">
        <w:rPr>
          <w:rFonts w:ascii="Calibri" w:hAnsi="Calibri" w:cs="Calibri"/>
          <w:noProof/>
          <w:szCs w:val="24"/>
        </w:rPr>
        <w:tab/>
        <w:t xml:space="preserve">Gu Y, Vorburger RS, Gazes Y, et al. (2016) White Matter Integrity as a Mediator in the Relationship between Dietary Nutrients and Cognition in the Elderly. </w:t>
      </w:r>
      <w:r w:rsidRPr="00C73D5C">
        <w:rPr>
          <w:rFonts w:ascii="Calibri" w:hAnsi="Calibri" w:cs="Calibri"/>
          <w:i/>
          <w:iCs/>
          <w:noProof/>
          <w:szCs w:val="24"/>
        </w:rPr>
        <w:t>Ann. Neurol.</w:t>
      </w:r>
      <w:r w:rsidRPr="00C73D5C">
        <w:rPr>
          <w:rFonts w:ascii="Calibri" w:hAnsi="Calibri" w:cs="Calibri"/>
          <w:noProof/>
          <w:szCs w:val="24"/>
        </w:rPr>
        <w:t xml:space="preserve"> </w:t>
      </w:r>
      <w:r w:rsidRPr="00C73D5C">
        <w:rPr>
          <w:rFonts w:ascii="Calibri" w:hAnsi="Calibri" w:cs="Calibri"/>
          <w:b/>
          <w:bCs/>
          <w:noProof/>
          <w:szCs w:val="24"/>
        </w:rPr>
        <w:t>79</w:t>
      </w:r>
      <w:r w:rsidRPr="00C73D5C">
        <w:rPr>
          <w:rFonts w:ascii="Calibri" w:hAnsi="Calibri" w:cs="Calibri"/>
          <w:noProof/>
          <w:szCs w:val="24"/>
        </w:rPr>
        <w:t>, 1014–1025.</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35. </w:t>
      </w:r>
      <w:r w:rsidRPr="00C73D5C">
        <w:rPr>
          <w:rFonts w:ascii="Calibri" w:hAnsi="Calibri" w:cs="Calibri"/>
          <w:noProof/>
          <w:szCs w:val="24"/>
        </w:rPr>
        <w:tab/>
        <w:t xml:space="preserve">Berti V, Murray J, Davies M, et al. (2015) Nutrient patterns and brain biomarkers of Alzheimer’s disease in cognitively normal individuals. </w:t>
      </w:r>
      <w:r w:rsidRPr="00C73D5C">
        <w:rPr>
          <w:rFonts w:ascii="Calibri" w:hAnsi="Calibri" w:cs="Calibri"/>
          <w:i/>
          <w:iCs/>
          <w:noProof/>
          <w:szCs w:val="24"/>
        </w:rPr>
        <w:t>J. Nutr. Health Aging</w:t>
      </w:r>
      <w:r w:rsidRPr="00C73D5C">
        <w:rPr>
          <w:rFonts w:ascii="Calibri" w:hAnsi="Calibri" w:cs="Calibri"/>
          <w:noProof/>
          <w:szCs w:val="24"/>
        </w:rPr>
        <w:t xml:space="preserve"> </w:t>
      </w:r>
      <w:r w:rsidRPr="00C73D5C">
        <w:rPr>
          <w:rFonts w:ascii="Calibri" w:hAnsi="Calibri" w:cs="Calibri"/>
          <w:b/>
          <w:bCs/>
          <w:noProof/>
          <w:szCs w:val="24"/>
        </w:rPr>
        <w:t>19</w:t>
      </w:r>
      <w:r w:rsidRPr="00C73D5C">
        <w:rPr>
          <w:rFonts w:ascii="Calibri" w:hAnsi="Calibri" w:cs="Calibri"/>
          <w:noProof/>
          <w:szCs w:val="24"/>
        </w:rPr>
        <w:t>, 413–423.</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36. </w:t>
      </w:r>
      <w:r w:rsidRPr="00C73D5C">
        <w:rPr>
          <w:rFonts w:ascii="Calibri" w:hAnsi="Calibri" w:cs="Calibri"/>
          <w:noProof/>
          <w:szCs w:val="24"/>
        </w:rPr>
        <w:tab/>
        <w:t xml:space="preserve">Bowman GL, Howieson D, Traber MG, et al. (2012) Nutrient biomarker patterns, cognitive function, and MRI measures of brain aging. </w:t>
      </w:r>
      <w:r w:rsidRPr="00C73D5C">
        <w:rPr>
          <w:rFonts w:ascii="Calibri" w:hAnsi="Calibri" w:cs="Calibri"/>
          <w:i/>
          <w:iCs/>
          <w:noProof/>
          <w:szCs w:val="24"/>
        </w:rPr>
        <w:t>Neurology</w:t>
      </w:r>
      <w:r w:rsidRPr="00C73D5C">
        <w:rPr>
          <w:rFonts w:ascii="Calibri" w:hAnsi="Calibri" w:cs="Calibri"/>
          <w:noProof/>
          <w:szCs w:val="24"/>
        </w:rPr>
        <w:t xml:space="preserve"> </w:t>
      </w:r>
      <w:r w:rsidRPr="00C73D5C">
        <w:rPr>
          <w:rFonts w:ascii="Calibri" w:hAnsi="Calibri" w:cs="Calibri"/>
          <w:b/>
          <w:bCs/>
          <w:noProof/>
          <w:szCs w:val="24"/>
        </w:rPr>
        <w:t>78</w:t>
      </w:r>
      <w:r w:rsidRPr="00C73D5C">
        <w:rPr>
          <w:rFonts w:ascii="Calibri" w:hAnsi="Calibri" w:cs="Calibri"/>
          <w:noProof/>
          <w:szCs w:val="24"/>
        </w:rPr>
        <w:t>, 241–249.</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37. </w:t>
      </w:r>
      <w:r w:rsidRPr="00C73D5C">
        <w:rPr>
          <w:rFonts w:ascii="Calibri" w:hAnsi="Calibri" w:cs="Calibri"/>
          <w:noProof/>
          <w:szCs w:val="24"/>
        </w:rPr>
        <w:tab/>
        <w:t xml:space="preserve">Luciano M, Corley J, Cox SR, et al. (2017) Mediterranean-type diet and brain structural change from 73 to 76 years in a Scottish cohort. </w:t>
      </w:r>
      <w:r w:rsidRPr="00C73D5C">
        <w:rPr>
          <w:rFonts w:ascii="Calibri" w:hAnsi="Calibri" w:cs="Calibri"/>
          <w:i/>
          <w:iCs/>
          <w:noProof/>
          <w:szCs w:val="24"/>
        </w:rPr>
        <w:t>Neurology</w:t>
      </w:r>
      <w:r w:rsidRPr="00C73D5C">
        <w:rPr>
          <w:rFonts w:ascii="Calibri" w:hAnsi="Calibri" w:cs="Calibri"/>
          <w:noProof/>
          <w:szCs w:val="24"/>
        </w:rPr>
        <w:t xml:space="preserve"> </w:t>
      </w:r>
      <w:r w:rsidRPr="00C73D5C">
        <w:rPr>
          <w:rFonts w:ascii="Calibri" w:hAnsi="Calibri" w:cs="Calibri"/>
          <w:b/>
          <w:bCs/>
          <w:noProof/>
          <w:szCs w:val="24"/>
        </w:rPr>
        <w:t>88</w:t>
      </w:r>
      <w:r w:rsidRPr="00C73D5C">
        <w:rPr>
          <w:rFonts w:ascii="Calibri" w:hAnsi="Calibri" w:cs="Calibri"/>
          <w:noProof/>
          <w:szCs w:val="24"/>
        </w:rPr>
        <w:t>, 449–456.</w:t>
      </w:r>
    </w:p>
    <w:p w:rsidR="00C73D5C" w:rsidRPr="00C73D5C" w:rsidRDefault="00CD6CEA" w:rsidP="00C73D5C">
      <w:pPr>
        <w:widowControl w:val="0"/>
        <w:autoSpaceDE w:val="0"/>
        <w:autoSpaceDN w:val="0"/>
        <w:adjustRightInd w:val="0"/>
        <w:spacing w:before="100" w:after="100" w:line="240" w:lineRule="auto"/>
        <w:ind w:left="640" w:hanging="640"/>
        <w:rPr>
          <w:rFonts w:ascii="Calibri" w:hAnsi="Calibri" w:cs="Calibri"/>
          <w:noProof/>
          <w:szCs w:val="24"/>
        </w:rPr>
      </w:pPr>
      <w:r>
        <w:rPr>
          <w:rFonts w:ascii="Calibri" w:hAnsi="Calibri" w:cs="Calibri"/>
          <w:noProof/>
          <w:szCs w:val="24"/>
        </w:rPr>
        <w:t xml:space="preserve">38. </w:t>
      </w:r>
      <w:r>
        <w:rPr>
          <w:rFonts w:ascii="Calibri" w:hAnsi="Calibri" w:cs="Calibri"/>
          <w:noProof/>
          <w:szCs w:val="24"/>
        </w:rPr>
        <w:tab/>
        <w:t>Staubo SC, Aakre JA</w:t>
      </w:r>
      <w:r w:rsidR="00C73D5C" w:rsidRPr="00C73D5C">
        <w:rPr>
          <w:rFonts w:ascii="Calibri" w:hAnsi="Calibri" w:cs="Calibri"/>
          <w:noProof/>
          <w:szCs w:val="24"/>
        </w:rPr>
        <w:t xml:space="preserve">, Vemuri P, et al. (2017) Mediterranean diet, micronutrients and macronutrients, and MRI measures of cortical thickness. </w:t>
      </w:r>
      <w:r w:rsidR="00C73D5C" w:rsidRPr="00C73D5C">
        <w:rPr>
          <w:rFonts w:ascii="Calibri" w:hAnsi="Calibri" w:cs="Calibri"/>
          <w:i/>
          <w:iCs/>
          <w:noProof/>
          <w:szCs w:val="24"/>
        </w:rPr>
        <w:t>Alzheimer’s Dement.</w:t>
      </w:r>
      <w:r w:rsidR="00C73D5C" w:rsidRPr="00C73D5C">
        <w:rPr>
          <w:rFonts w:ascii="Calibri" w:hAnsi="Calibri" w:cs="Calibri"/>
          <w:noProof/>
          <w:szCs w:val="24"/>
        </w:rPr>
        <w:t xml:space="preserve"> </w:t>
      </w:r>
      <w:r w:rsidR="00C73D5C" w:rsidRPr="00C73D5C">
        <w:rPr>
          <w:rFonts w:ascii="Calibri" w:hAnsi="Calibri" w:cs="Calibri"/>
          <w:b/>
          <w:bCs/>
          <w:noProof/>
          <w:szCs w:val="24"/>
        </w:rPr>
        <w:t>13</w:t>
      </w:r>
      <w:r w:rsidR="00C73D5C" w:rsidRPr="00C73D5C">
        <w:rPr>
          <w:rFonts w:ascii="Calibri" w:hAnsi="Calibri" w:cs="Calibri"/>
          <w:noProof/>
          <w:szCs w:val="24"/>
        </w:rPr>
        <w:t xml:space="preserve">, 168–177. </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lastRenderedPageBreak/>
        <w:t xml:space="preserve">39. </w:t>
      </w:r>
      <w:r w:rsidRPr="00C73D5C">
        <w:rPr>
          <w:rFonts w:ascii="Calibri" w:hAnsi="Calibri" w:cs="Calibri"/>
          <w:noProof/>
          <w:szCs w:val="24"/>
        </w:rPr>
        <w:tab/>
        <w:t xml:space="preserve">Gu Y, Brickman AM, Stern Y, et al. (2015) Mediterranean diet and brain structure in a multiethnic elderly cohort. </w:t>
      </w:r>
      <w:r w:rsidRPr="00C73D5C">
        <w:rPr>
          <w:rFonts w:ascii="Calibri" w:hAnsi="Calibri" w:cs="Calibri"/>
          <w:i/>
          <w:iCs/>
          <w:noProof/>
          <w:szCs w:val="24"/>
        </w:rPr>
        <w:t>Neurology</w:t>
      </w:r>
      <w:r w:rsidRPr="00C73D5C">
        <w:rPr>
          <w:rFonts w:ascii="Calibri" w:hAnsi="Calibri" w:cs="Calibri"/>
          <w:noProof/>
          <w:szCs w:val="24"/>
        </w:rPr>
        <w:t xml:space="preserve"> </w:t>
      </w:r>
      <w:r w:rsidRPr="00C73D5C">
        <w:rPr>
          <w:rFonts w:ascii="Calibri" w:hAnsi="Calibri" w:cs="Calibri"/>
          <w:b/>
          <w:bCs/>
          <w:noProof/>
          <w:szCs w:val="24"/>
        </w:rPr>
        <w:t>85</w:t>
      </w:r>
      <w:r w:rsidRPr="00C73D5C">
        <w:rPr>
          <w:rFonts w:ascii="Calibri" w:hAnsi="Calibri" w:cs="Calibri"/>
          <w:noProof/>
          <w:szCs w:val="24"/>
        </w:rPr>
        <w:t>, 1–8.</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40. </w:t>
      </w:r>
      <w:r w:rsidRPr="00C73D5C">
        <w:rPr>
          <w:rFonts w:ascii="Calibri" w:hAnsi="Calibri" w:cs="Calibri"/>
          <w:noProof/>
          <w:szCs w:val="24"/>
        </w:rPr>
        <w:tab/>
        <w:t xml:space="preserve">Pelletier A, Barul C &amp; Catherine F (2015) Mediterranean diet and preserved brain structural connectivity in older subjects. </w:t>
      </w:r>
      <w:r w:rsidRPr="00C73D5C">
        <w:rPr>
          <w:rFonts w:ascii="Calibri" w:hAnsi="Calibri" w:cs="Calibri"/>
          <w:i/>
          <w:iCs/>
          <w:noProof/>
          <w:szCs w:val="24"/>
        </w:rPr>
        <w:t>Alzheimer’s Dement.</w:t>
      </w:r>
      <w:r w:rsidRPr="00C73D5C">
        <w:rPr>
          <w:rFonts w:ascii="Calibri" w:hAnsi="Calibri" w:cs="Calibri"/>
          <w:noProof/>
          <w:szCs w:val="24"/>
        </w:rPr>
        <w:t xml:space="preserve"> </w:t>
      </w:r>
      <w:r w:rsidRPr="00C73D5C">
        <w:rPr>
          <w:rFonts w:ascii="Calibri" w:hAnsi="Calibri" w:cs="Calibri"/>
          <w:b/>
          <w:bCs/>
          <w:noProof/>
          <w:szCs w:val="24"/>
        </w:rPr>
        <w:t>11</w:t>
      </w:r>
      <w:r w:rsidRPr="00C73D5C">
        <w:rPr>
          <w:rFonts w:ascii="Calibri" w:hAnsi="Calibri" w:cs="Calibri"/>
          <w:noProof/>
          <w:szCs w:val="24"/>
        </w:rPr>
        <w:t>, 1023–1031.</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41. </w:t>
      </w:r>
      <w:r w:rsidRPr="00C73D5C">
        <w:rPr>
          <w:rFonts w:ascii="Calibri" w:hAnsi="Calibri" w:cs="Calibri"/>
          <w:noProof/>
          <w:szCs w:val="24"/>
        </w:rPr>
        <w:tab/>
        <w:t xml:space="preserve">Mosconi L, Murray J, Tsui WH, et al. (2014) Mediterranean Diet and Magnetic Resonance Imaging-Assessed Brain Atrophy in Cognitively Normal Individuals at Risk for Alzheimer’s Disease. </w:t>
      </w:r>
      <w:r w:rsidRPr="00C73D5C">
        <w:rPr>
          <w:rFonts w:ascii="Calibri" w:hAnsi="Calibri" w:cs="Calibri"/>
          <w:i/>
          <w:iCs/>
          <w:noProof/>
          <w:szCs w:val="24"/>
        </w:rPr>
        <w:t>J. Prev. Alzheimer’s Dis.</w:t>
      </w:r>
      <w:r w:rsidRPr="00C73D5C">
        <w:rPr>
          <w:rFonts w:ascii="Calibri" w:hAnsi="Calibri" w:cs="Calibri"/>
          <w:noProof/>
          <w:szCs w:val="24"/>
        </w:rPr>
        <w:t xml:space="preserve"> </w:t>
      </w:r>
      <w:r w:rsidRPr="00C73D5C">
        <w:rPr>
          <w:rFonts w:ascii="Calibri" w:hAnsi="Calibri" w:cs="Calibri"/>
          <w:b/>
          <w:bCs/>
          <w:noProof/>
          <w:szCs w:val="24"/>
        </w:rPr>
        <w:t>1</w:t>
      </w:r>
      <w:r w:rsidRPr="00C73D5C">
        <w:rPr>
          <w:rFonts w:ascii="Calibri" w:hAnsi="Calibri" w:cs="Calibri"/>
          <w:noProof/>
          <w:szCs w:val="24"/>
        </w:rPr>
        <w:t>, 23–32.</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42. </w:t>
      </w:r>
      <w:r w:rsidRPr="00C73D5C">
        <w:rPr>
          <w:rFonts w:ascii="Calibri" w:hAnsi="Calibri" w:cs="Calibri"/>
          <w:noProof/>
          <w:szCs w:val="24"/>
        </w:rPr>
        <w:tab/>
        <w:t xml:space="preserve">Titova OE, Ax E, Brooks SJ, et al. (2013) Mediterranean diet habits in older individuals: associations with cognitive functioning and brain volumes. </w:t>
      </w:r>
      <w:r w:rsidRPr="00C73D5C">
        <w:rPr>
          <w:rFonts w:ascii="Calibri" w:hAnsi="Calibri" w:cs="Calibri"/>
          <w:i/>
          <w:iCs/>
          <w:noProof/>
          <w:szCs w:val="24"/>
        </w:rPr>
        <w:t>Exp. Gerontol.</w:t>
      </w:r>
      <w:r w:rsidRPr="00C73D5C">
        <w:rPr>
          <w:rFonts w:ascii="Calibri" w:hAnsi="Calibri" w:cs="Calibri"/>
          <w:noProof/>
          <w:szCs w:val="24"/>
        </w:rPr>
        <w:t xml:space="preserve"> </w:t>
      </w:r>
      <w:r w:rsidRPr="00C73D5C">
        <w:rPr>
          <w:rFonts w:ascii="Calibri" w:hAnsi="Calibri" w:cs="Calibri"/>
          <w:b/>
          <w:bCs/>
          <w:noProof/>
          <w:szCs w:val="24"/>
        </w:rPr>
        <w:t>48</w:t>
      </w:r>
      <w:r w:rsidR="00CD6CEA">
        <w:rPr>
          <w:rFonts w:ascii="Calibri" w:hAnsi="Calibri" w:cs="Calibri"/>
          <w:noProof/>
          <w:szCs w:val="24"/>
        </w:rPr>
        <w:t>, 1443–1448</w:t>
      </w:r>
      <w:r w:rsidRPr="00C73D5C">
        <w:rPr>
          <w:rFonts w:ascii="Calibri" w:hAnsi="Calibri" w:cs="Calibri"/>
          <w:noProof/>
          <w:szCs w:val="24"/>
        </w:rPr>
        <w:t>.</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43. </w:t>
      </w:r>
      <w:r w:rsidRPr="00C73D5C">
        <w:rPr>
          <w:rFonts w:ascii="Calibri" w:hAnsi="Calibri" w:cs="Calibri"/>
          <w:noProof/>
          <w:szCs w:val="24"/>
        </w:rPr>
        <w:tab/>
        <w:t xml:space="preserve">Croll PH, Voortman T, Ikram MA, et al. (2018) Better diet quality relates to larger brain tissue volumes: The Rotterdam Study. </w:t>
      </w:r>
      <w:r w:rsidRPr="00C73D5C">
        <w:rPr>
          <w:rFonts w:ascii="Calibri" w:hAnsi="Calibri" w:cs="Calibri"/>
          <w:i/>
          <w:iCs/>
          <w:noProof/>
          <w:szCs w:val="24"/>
        </w:rPr>
        <w:t>Neurology</w:t>
      </w:r>
      <w:r w:rsidRPr="00C73D5C">
        <w:rPr>
          <w:rFonts w:ascii="Calibri" w:hAnsi="Calibri" w:cs="Calibri"/>
          <w:noProof/>
          <w:szCs w:val="24"/>
        </w:rPr>
        <w:t xml:space="preserve"> </w:t>
      </w:r>
      <w:r w:rsidRPr="00C73D5C">
        <w:rPr>
          <w:rFonts w:ascii="Calibri" w:hAnsi="Calibri" w:cs="Calibri"/>
          <w:b/>
          <w:bCs/>
          <w:noProof/>
          <w:szCs w:val="24"/>
        </w:rPr>
        <w:t>90</w:t>
      </w:r>
      <w:r w:rsidRPr="00C73D5C">
        <w:rPr>
          <w:rFonts w:ascii="Calibri" w:hAnsi="Calibri" w:cs="Calibri"/>
          <w:noProof/>
          <w:szCs w:val="24"/>
        </w:rPr>
        <w:t>, e2166–e2173.</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44. </w:t>
      </w:r>
      <w:r w:rsidRPr="00C73D5C">
        <w:rPr>
          <w:rFonts w:ascii="Calibri" w:hAnsi="Calibri" w:cs="Calibri"/>
          <w:noProof/>
          <w:szCs w:val="24"/>
        </w:rPr>
        <w:tab/>
        <w:t xml:space="preserve">Jacka FN, Cherbuin N, Anstey KJ, et al. (2015) Western diet is associated with a smaller hippocampus: a longitudinal investigation. </w:t>
      </w:r>
      <w:r w:rsidRPr="00C73D5C">
        <w:rPr>
          <w:rFonts w:ascii="Calibri" w:hAnsi="Calibri" w:cs="Calibri"/>
          <w:i/>
          <w:iCs/>
          <w:noProof/>
          <w:szCs w:val="24"/>
        </w:rPr>
        <w:t>BMC Med.</w:t>
      </w:r>
      <w:r w:rsidRPr="00C73D5C">
        <w:rPr>
          <w:rFonts w:ascii="Calibri" w:hAnsi="Calibri" w:cs="Calibri"/>
          <w:noProof/>
          <w:szCs w:val="24"/>
        </w:rPr>
        <w:t xml:space="preserve"> </w:t>
      </w:r>
      <w:r w:rsidRPr="00C73D5C">
        <w:rPr>
          <w:rFonts w:ascii="Calibri" w:hAnsi="Calibri" w:cs="Calibri"/>
          <w:b/>
          <w:bCs/>
          <w:noProof/>
          <w:szCs w:val="24"/>
        </w:rPr>
        <w:t>13</w:t>
      </w:r>
      <w:r w:rsidR="00CD6CEA">
        <w:rPr>
          <w:rFonts w:ascii="Calibri" w:hAnsi="Calibri" w:cs="Calibri"/>
          <w:noProof/>
          <w:szCs w:val="24"/>
        </w:rPr>
        <w:t>, 215</w:t>
      </w:r>
      <w:r w:rsidRPr="00C73D5C">
        <w:rPr>
          <w:rFonts w:ascii="Calibri" w:hAnsi="Calibri" w:cs="Calibri"/>
          <w:noProof/>
          <w:szCs w:val="24"/>
        </w:rPr>
        <w:t>.</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45. </w:t>
      </w:r>
      <w:r w:rsidRPr="00C73D5C">
        <w:rPr>
          <w:rFonts w:ascii="Calibri" w:hAnsi="Calibri" w:cs="Calibri"/>
          <w:noProof/>
          <w:szCs w:val="24"/>
        </w:rPr>
        <w:tab/>
        <w:t xml:space="preserve">Topiwala A, Allan CL, Valkanova V, et al. (2017) Moderate alcohol consumption as risk factor for adverse brain outcomes and cognitive decline: longitudinal cohort study. </w:t>
      </w:r>
      <w:r w:rsidRPr="00C73D5C">
        <w:rPr>
          <w:rFonts w:ascii="Calibri" w:hAnsi="Calibri" w:cs="Calibri"/>
          <w:i/>
          <w:iCs/>
          <w:noProof/>
          <w:szCs w:val="24"/>
        </w:rPr>
        <w:t>BMJ</w:t>
      </w:r>
      <w:r w:rsidRPr="00C73D5C">
        <w:rPr>
          <w:rFonts w:ascii="Calibri" w:hAnsi="Calibri" w:cs="Calibri"/>
          <w:noProof/>
          <w:szCs w:val="24"/>
        </w:rPr>
        <w:t xml:space="preserve"> </w:t>
      </w:r>
      <w:r w:rsidRPr="00C73D5C">
        <w:rPr>
          <w:rFonts w:ascii="Calibri" w:hAnsi="Calibri" w:cs="Calibri"/>
          <w:b/>
          <w:bCs/>
          <w:noProof/>
          <w:szCs w:val="24"/>
        </w:rPr>
        <w:t>357</w:t>
      </w:r>
      <w:r w:rsidRPr="00C73D5C">
        <w:rPr>
          <w:rFonts w:ascii="Calibri" w:hAnsi="Calibri" w:cs="Calibri"/>
          <w:noProof/>
          <w:szCs w:val="24"/>
        </w:rPr>
        <w:t>, j2353.</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46. </w:t>
      </w:r>
      <w:r w:rsidRPr="00C73D5C">
        <w:rPr>
          <w:rFonts w:ascii="Calibri" w:hAnsi="Calibri" w:cs="Calibri"/>
          <w:noProof/>
          <w:szCs w:val="24"/>
        </w:rPr>
        <w:tab/>
        <w:t xml:space="preserve">Gu Y, Scarmeas N, Eaton E, et al. (2014) Alcohol intake and brain structure in a multiethnic elderly cohort. </w:t>
      </w:r>
      <w:r w:rsidRPr="00C73D5C">
        <w:rPr>
          <w:rFonts w:ascii="Calibri" w:hAnsi="Calibri" w:cs="Calibri"/>
          <w:i/>
          <w:iCs/>
          <w:noProof/>
          <w:szCs w:val="24"/>
        </w:rPr>
        <w:t>Clin. Nutr.</w:t>
      </w:r>
      <w:r w:rsidRPr="00C73D5C">
        <w:rPr>
          <w:rFonts w:ascii="Calibri" w:hAnsi="Calibri" w:cs="Calibri"/>
          <w:noProof/>
          <w:szCs w:val="24"/>
        </w:rPr>
        <w:t xml:space="preserve"> </w:t>
      </w:r>
      <w:r w:rsidRPr="00C73D5C">
        <w:rPr>
          <w:rFonts w:ascii="Calibri" w:hAnsi="Calibri" w:cs="Calibri"/>
          <w:b/>
          <w:bCs/>
          <w:noProof/>
          <w:szCs w:val="24"/>
        </w:rPr>
        <w:t>33</w:t>
      </w:r>
      <w:r w:rsidR="00CD6CEA">
        <w:rPr>
          <w:rFonts w:ascii="Calibri" w:hAnsi="Calibri" w:cs="Calibri"/>
          <w:noProof/>
          <w:szCs w:val="24"/>
        </w:rPr>
        <w:t>, 662–667</w:t>
      </w:r>
      <w:r w:rsidRPr="00C73D5C">
        <w:rPr>
          <w:rFonts w:ascii="Calibri" w:hAnsi="Calibri" w:cs="Calibri"/>
          <w:noProof/>
          <w:szCs w:val="24"/>
        </w:rPr>
        <w:t>.</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47. </w:t>
      </w:r>
      <w:r w:rsidRPr="00C73D5C">
        <w:rPr>
          <w:rFonts w:ascii="Calibri" w:hAnsi="Calibri" w:cs="Calibri"/>
          <w:noProof/>
          <w:szCs w:val="24"/>
        </w:rPr>
        <w:tab/>
        <w:t xml:space="preserve">Paul CA, Au R, Fredman L, et al. (2008) Association of Alcohol Consumption With Brain Volume in the Framingham Study. </w:t>
      </w:r>
      <w:r w:rsidRPr="00C73D5C">
        <w:rPr>
          <w:rFonts w:ascii="Calibri" w:hAnsi="Calibri" w:cs="Calibri"/>
          <w:i/>
          <w:iCs/>
          <w:noProof/>
          <w:szCs w:val="24"/>
        </w:rPr>
        <w:t>Arch. Neurol.</w:t>
      </w:r>
      <w:r w:rsidRPr="00C73D5C">
        <w:rPr>
          <w:rFonts w:ascii="Calibri" w:hAnsi="Calibri" w:cs="Calibri"/>
          <w:noProof/>
          <w:szCs w:val="24"/>
        </w:rPr>
        <w:t xml:space="preserve"> </w:t>
      </w:r>
      <w:r w:rsidRPr="00C73D5C">
        <w:rPr>
          <w:rFonts w:ascii="Calibri" w:hAnsi="Calibri" w:cs="Calibri"/>
          <w:b/>
          <w:bCs/>
          <w:noProof/>
          <w:szCs w:val="24"/>
        </w:rPr>
        <w:t>65</w:t>
      </w:r>
      <w:r w:rsidRPr="00C73D5C">
        <w:rPr>
          <w:rFonts w:ascii="Calibri" w:hAnsi="Calibri" w:cs="Calibri"/>
          <w:noProof/>
          <w:szCs w:val="24"/>
        </w:rPr>
        <w:t>, 1363–1367.</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48. </w:t>
      </w:r>
      <w:r w:rsidRPr="00C73D5C">
        <w:rPr>
          <w:rFonts w:ascii="Calibri" w:hAnsi="Calibri" w:cs="Calibri"/>
          <w:noProof/>
          <w:szCs w:val="24"/>
        </w:rPr>
        <w:tab/>
        <w:t xml:space="preserve">Sachdev PS, Chen X, Wen W, et al. (2008) Light to moderate alcohol use is associated with increased cortical gray matter in middle-aged men: A voxel-based morphometric study. </w:t>
      </w:r>
      <w:r w:rsidRPr="00C73D5C">
        <w:rPr>
          <w:rFonts w:ascii="Calibri" w:hAnsi="Calibri" w:cs="Calibri"/>
          <w:i/>
          <w:iCs/>
          <w:noProof/>
          <w:szCs w:val="24"/>
        </w:rPr>
        <w:t>Psychiatry Res. Neuroimaging</w:t>
      </w:r>
      <w:r w:rsidRPr="00C73D5C">
        <w:rPr>
          <w:rFonts w:ascii="Calibri" w:hAnsi="Calibri" w:cs="Calibri"/>
          <w:noProof/>
          <w:szCs w:val="24"/>
        </w:rPr>
        <w:t xml:space="preserve"> </w:t>
      </w:r>
      <w:r w:rsidRPr="00C73D5C">
        <w:rPr>
          <w:rFonts w:ascii="Calibri" w:hAnsi="Calibri" w:cs="Calibri"/>
          <w:b/>
          <w:bCs/>
          <w:noProof/>
          <w:szCs w:val="24"/>
        </w:rPr>
        <w:t>163</w:t>
      </w:r>
      <w:r w:rsidRPr="00C73D5C">
        <w:rPr>
          <w:rFonts w:ascii="Calibri" w:hAnsi="Calibri" w:cs="Calibri"/>
          <w:noProof/>
          <w:szCs w:val="24"/>
        </w:rPr>
        <w:t>, 61–69.</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szCs w:val="24"/>
        </w:rPr>
      </w:pPr>
      <w:r w:rsidRPr="00C73D5C">
        <w:rPr>
          <w:rFonts w:ascii="Calibri" w:hAnsi="Calibri" w:cs="Calibri"/>
          <w:noProof/>
          <w:szCs w:val="24"/>
        </w:rPr>
        <w:t xml:space="preserve">49. </w:t>
      </w:r>
      <w:r w:rsidRPr="00C73D5C">
        <w:rPr>
          <w:rFonts w:ascii="Calibri" w:hAnsi="Calibri" w:cs="Calibri"/>
          <w:noProof/>
          <w:szCs w:val="24"/>
        </w:rPr>
        <w:tab/>
        <w:t xml:space="preserve">den Heijer T, Vermeer SE, Dijk EJ Van, et al. (2004) Alcohol intake in relation to brain magnetic resonance imaging findings in older persons without dementia. </w:t>
      </w:r>
      <w:r w:rsidRPr="00C73D5C">
        <w:rPr>
          <w:rFonts w:ascii="Calibri" w:hAnsi="Calibri" w:cs="Calibri"/>
          <w:i/>
          <w:iCs/>
          <w:noProof/>
          <w:szCs w:val="24"/>
        </w:rPr>
        <w:t>Am. J. Clin. Nutr.</w:t>
      </w:r>
      <w:r w:rsidRPr="00C73D5C">
        <w:rPr>
          <w:rFonts w:ascii="Calibri" w:hAnsi="Calibri" w:cs="Calibri"/>
          <w:noProof/>
          <w:szCs w:val="24"/>
        </w:rPr>
        <w:t xml:space="preserve"> </w:t>
      </w:r>
      <w:r w:rsidRPr="00C73D5C">
        <w:rPr>
          <w:rFonts w:ascii="Calibri" w:hAnsi="Calibri" w:cs="Calibri"/>
          <w:b/>
          <w:bCs/>
          <w:noProof/>
          <w:szCs w:val="24"/>
        </w:rPr>
        <w:t>80</w:t>
      </w:r>
      <w:r w:rsidRPr="00C73D5C">
        <w:rPr>
          <w:rFonts w:ascii="Calibri" w:hAnsi="Calibri" w:cs="Calibri"/>
          <w:noProof/>
          <w:szCs w:val="24"/>
        </w:rPr>
        <w:t>, 992–997.</w:t>
      </w:r>
    </w:p>
    <w:p w:rsidR="00C73D5C" w:rsidRPr="00C73D5C" w:rsidRDefault="00C73D5C" w:rsidP="00C73D5C">
      <w:pPr>
        <w:widowControl w:val="0"/>
        <w:autoSpaceDE w:val="0"/>
        <w:autoSpaceDN w:val="0"/>
        <w:adjustRightInd w:val="0"/>
        <w:spacing w:before="100" w:after="100" w:line="240" w:lineRule="auto"/>
        <w:ind w:left="640" w:hanging="640"/>
        <w:rPr>
          <w:rFonts w:ascii="Calibri" w:hAnsi="Calibri" w:cs="Calibri"/>
          <w:noProof/>
        </w:rPr>
      </w:pPr>
      <w:r w:rsidRPr="00C73D5C">
        <w:rPr>
          <w:rFonts w:ascii="Calibri" w:hAnsi="Calibri" w:cs="Calibri"/>
          <w:noProof/>
          <w:szCs w:val="24"/>
        </w:rPr>
        <w:t xml:space="preserve">50. </w:t>
      </w:r>
      <w:r w:rsidRPr="00C73D5C">
        <w:rPr>
          <w:rFonts w:ascii="Calibri" w:hAnsi="Calibri" w:cs="Calibri"/>
          <w:noProof/>
          <w:szCs w:val="24"/>
        </w:rPr>
        <w:tab/>
        <w:t xml:space="preserve">Raji CA, Erickson KI, Lopez OL, et al. (2014) Regular fish consumption and age-related brain gray matter loss. </w:t>
      </w:r>
      <w:r w:rsidRPr="00C73D5C">
        <w:rPr>
          <w:rFonts w:ascii="Calibri" w:hAnsi="Calibri" w:cs="Calibri"/>
          <w:i/>
          <w:iCs/>
          <w:noProof/>
          <w:szCs w:val="24"/>
        </w:rPr>
        <w:t>Am. J. Prev. Med.</w:t>
      </w:r>
      <w:r w:rsidRPr="00C73D5C">
        <w:rPr>
          <w:rFonts w:ascii="Calibri" w:hAnsi="Calibri" w:cs="Calibri"/>
          <w:noProof/>
          <w:szCs w:val="24"/>
        </w:rPr>
        <w:t xml:space="preserve"> </w:t>
      </w:r>
      <w:r w:rsidRPr="00C73D5C">
        <w:rPr>
          <w:rFonts w:ascii="Calibri" w:hAnsi="Calibri" w:cs="Calibri"/>
          <w:b/>
          <w:bCs/>
          <w:noProof/>
          <w:szCs w:val="24"/>
        </w:rPr>
        <w:t>47</w:t>
      </w:r>
      <w:r w:rsidRPr="00C73D5C">
        <w:rPr>
          <w:rFonts w:ascii="Calibri" w:hAnsi="Calibri" w:cs="Calibri"/>
          <w:noProof/>
          <w:szCs w:val="24"/>
        </w:rPr>
        <w:t>, 444–451</w:t>
      </w:r>
      <w:r w:rsidR="00CD6CEA">
        <w:rPr>
          <w:rFonts w:ascii="Calibri" w:hAnsi="Calibri" w:cs="Calibri"/>
          <w:noProof/>
          <w:szCs w:val="24"/>
        </w:rPr>
        <w:t>.</w:t>
      </w:r>
    </w:p>
    <w:p w:rsidR="00F71ADF" w:rsidRPr="00B54A75" w:rsidRDefault="001B6432" w:rsidP="006F2F0B">
      <w:r w:rsidRPr="00B54A75">
        <w:fldChar w:fldCharType="end"/>
      </w:r>
    </w:p>
    <w:p w:rsidR="00F71ADF" w:rsidRPr="00B54A75" w:rsidRDefault="00F71ADF" w:rsidP="006F2F0B"/>
    <w:p w:rsidR="00F71ADF" w:rsidRPr="00B54A75" w:rsidRDefault="00F71ADF" w:rsidP="006F2F0B"/>
    <w:p w:rsidR="00F71ADF" w:rsidRPr="00B54A75" w:rsidRDefault="00F71ADF" w:rsidP="006F2F0B"/>
    <w:p w:rsidR="00F71ADF" w:rsidRPr="00B54A75" w:rsidRDefault="00F71ADF" w:rsidP="006F2F0B"/>
    <w:p w:rsidR="00F71ADF" w:rsidRPr="00B54A75" w:rsidRDefault="00F71ADF" w:rsidP="006F2F0B">
      <w:bookmarkStart w:id="0" w:name="_GoBack"/>
      <w:bookmarkEnd w:id="0"/>
    </w:p>
    <w:p w:rsidR="00F71ADF" w:rsidRPr="00B54A75" w:rsidRDefault="00F71ADF" w:rsidP="006F2F0B"/>
    <w:p w:rsidR="00F71ADF" w:rsidRPr="00B54A75" w:rsidRDefault="00F71ADF" w:rsidP="006F2F0B"/>
    <w:p w:rsidR="00F71ADF" w:rsidRPr="00B54A75" w:rsidRDefault="00F71ADF" w:rsidP="006F2F0B"/>
    <w:sectPr w:rsidR="00F71ADF" w:rsidRPr="00B54A75" w:rsidSect="00F71ADF">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22D" w:rsidRDefault="007F522D" w:rsidP="00C56D72">
      <w:pPr>
        <w:spacing w:after="0" w:line="240" w:lineRule="auto"/>
      </w:pPr>
      <w:r>
        <w:separator/>
      </w:r>
    </w:p>
  </w:endnote>
  <w:endnote w:type="continuationSeparator" w:id="0">
    <w:p w:rsidR="007F522D" w:rsidRDefault="007F522D" w:rsidP="00C5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22D" w:rsidRDefault="007F522D" w:rsidP="00C56D72">
      <w:pPr>
        <w:spacing w:after="0" w:line="240" w:lineRule="auto"/>
      </w:pPr>
      <w:r>
        <w:separator/>
      </w:r>
    </w:p>
  </w:footnote>
  <w:footnote w:type="continuationSeparator" w:id="0">
    <w:p w:rsidR="007F522D" w:rsidRDefault="007F522D" w:rsidP="00C56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26DF"/>
    <w:multiLevelType w:val="hybridMultilevel"/>
    <w:tmpl w:val="240C2D34"/>
    <w:lvl w:ilvl="0" w:tplc="AFF250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882754"/>
    <w:multiLevelType w:val="hybridMultilevel"/>
    <w:tmpl w:val="AC8E414E"/>
    <w:lvl w:ilvl="0" w:tplc="6ACC83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72"/>
    <w:rsid w:val="00070EC0"/>
    <w:rsid w:val="00083999"/>
    <w:rsid w:val="000867D4"/>
    <w:rsid w:val="00097AC7"/>
    <w:rsid w:val="000A5030"/>
    <w:rsid w:val="000B598D"/>
    <w:rsid w:val="000E09F2"/>
    <w:rsid w:val="000F1C4A"/>
    <w:rsid w:val="00101592"/>
    <w:rsid w:val="00104A70"/>
    <w:rsid w:val="00112011"/>
    <w:rsid w:val="00123957"/>
    <w:rsid w:val="00136C59"/>
    <w:rsid w:val="00174DC3"/>
    <w:rsid w:val="001965F1"/>
    <w:rsid w:val="001A1748"/>
    <w:rsid w:val="001B212C"/>
    <w:rsid w:val="001B6432"/>
    <w:rsid w:val="001C6D96"/>
    <w:rsid w:val="001D5D74"/>
    <w:rsid w:val="001E46D5"/>
    <w:rsid w:val="001F068C"/>
    <w:rsid w:val="00222F25"/>
    <w:rsid w:val="0022469D"/>
    <w:rsid w:val="002338C0"/>
    <w:rsid w:val="00240E15"/>
    <w:rsid w:val="00272BBE"/>
    <w:rsid w:val="00272FF1"/>
    <w:rsid w:val="00291B3D"/>
    <w:rsid w:val="002A279C"/>
    <w:rsid w:val="002A5EF7"/>
    <w:rsid w:val="002C1387"/>
    <w:rsid w:val="00303DDA"/>
    <w:rsid w:val="00310374"/>
    <w:rsid w:val="003114CA"/>
    <w:rsid w:val="00316F4A"/>
    <w:rsid w:val="00360830"/>
    <w:rsid w:val="0036449D"/>
    <w:rsid w:val="00365780"/>
    <w:rsid w:val="003834D2"/>
    <w:rsid w:val="003A0616"/>
    <w:rsid w:val="003C25D2"/>
    <w:rsid w:val="003D110B"/>
    <w:rsid w:val="003F2254"/>
    <w:rsid w:val="004711A5"/>
    <w:rsid w:val="004721B7"/>
    <w:rsid w:val="00472743"/>
    <w:rsid w:val="004A4C44"/>
    <w:rsid w:val="004C11AD"/>
    <w:rsid w:val="004C296D"/>
    <w:rsid w:val="004C362A"/>
    <w:rsid w:val="004E3570"/>
    <w:rsid w:val="00504B5B"/>
    <w:rsid w:val="00523469"/>
    <w:rsid w:val="00530AD4"/>
    <w:rsid w:val="00546A56"/>
    <w:rsid w:val="00546FE4"/>
    <w:rsid w:val="00551886"/>
    <w:rsid w:val="005A4F3A"/>
    <w:rsid w:val="006002CC"/>
    <w:rsid w:val="00605E20"/>
    <w:rsid w:val="00606837"/>
    <w:rsid w:val="00607DAE"/>
    <w:rsid w:val="00616522"/>
    <w:rsid w:val="006312DC"/>
    <w:rsid w:val="00655D70"/>
    <w:rsid w:val="00661735"/>
    <w:rsid w:val="006646B7"/>
    <w:rsid w:val="00686C2B"/>
    <w:rsid w:val="00687CB0"/>
    <w:rsid w:val="006B41E5"/>
    <w:rsid w:val="006B47A3"/>
    <w:rsid w:val="006D40A0"/>
    <w:rsid w:val="006E4E0D"/>
    <w:rsid w:val="006F2F0B"/>
    <w:rsid w:val="006F713A"/>
    <w:rsid w:val="00701896"/>
    <w:rsid w:val="00752A7C"/>
    <w:rsid w:val="0075779A"/>
    <w:rsid w:val="0076715C"/>
    <w:rsid w:val="00785B47"/>
    <w:rsid w:val="00794B56"/>
    <w:rsid w:val="0079760E"/>
    <w:rsid w:val="007C0329"/>
    <w:rsid w:val="007E3FE9"/>
    <w:rsid w:val="007F522D"/>
    <w:rsid w:val="008112AC"/>
    <w:rsid w:val="00813F5C"/>
    <w:rsid w:val="008210ED"/>
    <w:rsid w:val="008251F9"/>
    <w:rsid w:val="008543A2"/>
    <w:rsid w:val="00892187"/>
    <w:rsid w:val="008A7ACA"/>
    <w:rsid w:val="008D05ED"/>
    <w:rsid w:val="008E796A"/>
    <w:rsid w:val="0090349C"/>
    <w:rsid w:val="009204F9"/>
    <w:rsid w:val="009321E8"/>
    <w:rsid w:val="009459D2"/>
    <w:rsid w:val="0094770C"/>
    <w:rsid w:val="00982877"/>
    <w:rsid w:val="009873E6"/>
    <w:rsid w:val="00991863"/>
    <w:rsid w:val="009957A6"/>
    <w:rsid w:val="009D795F"/>
    <w:rsid w:val="009F31F9"/>
    <w:rsid w:val="009F3693"/>
    <w:rsid w:val="009F76FD"/>
    <w:rsid w:val="00A04631"/>
    <w:rsid w:val="00A47F57"/>
    <w:rsid w:val="00A57BF1"/>
    <w:rsid w:val="00A62A54"/>
    <w:rsid w:val="00A71108"/>
    <w:rsid w:val="00A756CF"/>
    <w:rsid w:val="00A7624C"/>
    <w:rsid w:val="00A85A6A"/>
    <w:rsid w:val="00A93878"/>
    <w:rsid w:val="00A95B69"/>
    <w:rsid w:val="00AA06B6"/>
    <w:rsid w:val="00AC50B4"/>
    <w:rsid w:val="00AC73C6"/>
    <w:rsid w:val="00AE3412"/>
    <w:rsid w:val="00AE3FC7"/>
    <w:rsid w:val="00B07BC0"/>
    <w:rsid w:val="00B1343D"/>
    <w:rsid w:val="00B14009"/>
    <w:rsid w:val="00B174DF"/>
    <w:rsid w:val="00B33D76"/>
    <w:rsid w:val="00B422A7"/>
    <w:rsid w:val="00B54A75"/>
    <w:rsid w:val="00B70B55"/>
    <w:rsid w:val="00B82BC6"/>
    <w:rsid w:val="00B900CB"/>
    <w:rsid w:val="00B91A03"/>
    <w:rsid w:val="00BB1681"/>
    <w:rsid w:val="00BB3935"/>
    <w:rsid w:val="00BB58D4"/>
    <w:rsid w:val="00BD13B8"/>
    <w:rsid w:val="00BD17B8"/>
    <w:rsid w:val="00BE068C"/>
    <w:rsid w:val="00BF1B42"/>
    <w:rsid w:val="00C24767"/>
    <w:rsid w:val="00C3739E"/>
    <w:rsid w:val="00C4571F"/>
    <w:rsid w:val="00C56D72"/>
    <w:rsid w:val="00C73D5C"/>
    <w:rsid w:val="00C751AC"/>
    <w:rsid w:val="00C851DF"/>
    <w:rsid w:val="00CA1528"/>
    <w:rsid w:val="00CA60C8"/>
    <w:rsid w:val="00CA630B"/>
    <w:rsid w:val="00CD6CEA"/>
    <w:rsid w:val="00CE0307"/>
    <w:rsid w:val="00D11419"/>
    <w:rsid w:val="00D41D01"/>
    <w:rsid w:val="00D46156"/>
    <w:rsid w:val="00D46348"/>
    <w:rsid w:val="00D6693C"/>
    <w:rsid w:val="00D723A6"/>
    <w:rsid w:val="00D91099"/>
    <w:rsid w:val="00D91972"/>
    <w:rsid w:val="00D96BA4"/>
    <w:rsid w:val="00DC2D15"/>
    <w:rsid w:val="00DF066F"/>
    <w:rsid w:val="00DF2042"/>
    <w:rsid w:val="00E25240"/>
    <w:rsid w:val="00E4707C"/>
    <w:rsid w:val="00E53F88"/>
    <w:rsid w:val="00E6103B"/>
    <w:rsid w:val="00E6772A"/>
    <w:rsid w:val="00E7142B"/>
    <w:rsid w:val="00E73508"/>
    <w:rsid w:val="00E73CD6"/>
    <w:rsid w:val="00EB5A6B"/>
    <w:rsid w:val="00ED4C59"/>
    <w:rsid w:val="00F26ACB"/>
    <w:rsid w:val="00F71ADF"/>
    <w:rsid w:val="00F91E84"/>
    <w:rsid w:val="00F950C7"/>
    <w:rsid w:val="00FA70BA"/>
    <w:rsid w:val="00FD0EC4"/>
    <w:rsid w:val="00FE2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0FDAD"/>
  <w15:chartTrackingRefBased/>
  <w15:docId w15:val="{2601317D-CCA4-4711-BAF7-2660CC47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D72"/>
  </w:style>
  <w:style w:type="paragraph" w:styleId="Footer">
    <w:name w:val="footer"/>
    <w:basedOn w:val="Normal"/>
    <w:link w:val="FooterChar"/>
    <w:uiPriority w:val="99"/>
    <w:unhideWhenUsed/>
    <w:rsid w:val="00C56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D72"/>
  </w:style>
  <w:style w:type="paragraph" w:styleId="ListParagraph">
    <w:name w:val="List Paragraph"/>
    <w:basedOn w:val="Normal"/>
    <w:uiPriority w:val="34"/>
    <w:qFormat/>
    <w:rsid w:val="00C56D72"/>
    <w:pPr>
      <w:ind w:left="720"/>
      <w:contextualSpacing/>
    </w:pPr>
  </w:style>
  <w:style w:type="character" w:styleId="CommentReference">
    <w:name w:val="annotation reference"/>
    <w:basedOn w:val="DefaultParagraphFont"/>
    <w:uiPriority w:val="99"/>
    <w:semiHidden/>
    <w:unhideWhenUsed/>
    <w:rsid w:val="00F26ACB"/>
    <w:rPr>
      <w:sz w:val="16"/>
      <w:szCs w:val="16"/>
    </w:rPr>
  </w:style>
  <w:style w:type="paragraph" w:styleId="CommentText">
    <w:name w:val="annotation text"/>
    <w:basedOn w:val="Normal"/>
    <w:link w:val="CommentTextChar"/>
    <w:uiPriority w:val="99"/>
    <w:semiHidden/>
    <w:unhideWhenUsed/>
    <w:rsid w:val="00F26ACB"/>
    <w:pPr>
      <w:spacing w:line="240" w:lineRule="auto"/>
    </w:pPr>
    <w:rPr>
      <w:sz w:val="20"/>
      <w:szCs w:val="20"/>
    </w:rPr>
  </w:style>
  <w:style w:type="character" w:customStyle="1" w:styleId="CommentTextChar">
    <w:name w:val="Comment Text Char"/>
    <w:basedOn w:val="DefaultParagraphFont"/>
    <w:link w:val="CommentText"/>
    <w:uiPriority w:val="99"/>
    <w:semiHidden/>
    <w:rsid w:val="00F26ACB"/>
    <w:rPr>
      <w:sz w:val="20"/>
      <w:szCs w:val="20"/>
    </w:rPr>
  </w:style>
  <w:style w:type="paragraph" w:styleId="CommentSubject">
    <w:name w:val="annotation subject"/>
    <w:basedOn w:val="CommentText"/>
    <w:next w:val="CommentText"/>
    <w:link w:val="CommentSubjectChar"/>
    <w:uiPriority w:val="99"/>
    <w:semiHidden/>
    <w:unhideWhenUsed/>
    <w:rsid w:val="00F26ACB"/>
    <w:rPr>
      <w:b/>
      <w:bCs/>
    </w:rPr>
  </w:style>
  <w:style w:type="character" w:customStyle="1" w:styleId="CommentSubjectChar">
    <w:name w:val="Comment Subject Char"/>
    <w:basedOn w:val="CommentTextChar"/>
    <w:link w:val="CommentSubject"/>
    <w:uiPriority w:val="99"/>
    <w:semiHidden/>
    <w:rsid w:val="00F26ACB"/>
    <w:rPr>
      <w:b/>
      <w:bCs/>
      <w:sz w:val="20"/>
      <w:szCs w:val="20"/>
    </w:rPr>
  </w:style>
  <w:style w:type="paragraph" w:styleId="BalloonText">
    <w:name w:val="Balloon Text"/>
    <w:basedOn w:val="Normal"/>
    <w:link w:val="BalloonTextChar"/>
    <w:uiPriority w:val="99"/>
    <w:semiHidden/>
    <w:unhideWhenUsed/>
    <w:rsid w:val="00F26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ACB"/>
    <w:rPr>
      <w:rFonts w:ascii="Segoe UI" w:hAnsi="Segoe UI" w:cs="Segoe UI"/>
      <w:sz w:val="18"/>
      <w:szCs w:val="18"/>
    </w:rPr>
  </w:style>
  <w:style w:type="character" w:styleId="Hyperlink">
    <w:name w:val="Hyperlink"/>
    <w:basedOn w:val="DefaultParagraphFont"/>
    <w:uiPriority w:val="99"/>
    <w:semiHidden/>
    <w:unhideWhenUsed/>
    <w:rsid w:val="006002CC"/>
    <w:rPr>
      <w:color w:val="0563C1"/>
      <w:u w:val="single"/>
    </w:rPr>
  </w:style>
  <w:style w:type="character" w:styleId="FollowedHyperlink">
    <w:name w:val="FollowedHyperlink"/>
    <w:basedOn w:val="DefaultParagraphFont"/>
    <w:uiPriority w:val="99"/>
    <w:semiHidden/>
    <w:unhideWhenUsed/>
    <w:rsid w:val="006002CC"/>
    <w:rPr>
      <w:color w:val="954F72"/>
      <w:u w:val="single"/>
    </w:rPr>
  </w:style>
  <w:style w:type="paragraph" w:customStyle="1" w:styleId="msonormal0">
    <w:name w:val="msonormal"/>
    <w:basedOn w:val="Normal"/>
    <w:rsid w:val="006002C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6002CC"/>
    <w:pPr>
      <w:spacing w:before="100" w:beforeAutospacing="1" w:after="100" w:afterAutospacing="1" w:line="240" w:lineRule="auto"/>
    </w:pPr>
    <w:rPr>
      <w:rFonts w:ascii="Calibri" w:eastAsia="Times New Roman" w:hAnsi="Calibri" w:cs="Calibri"/>
      <w:b/>
      <w:bCs/>
      <w:color w:val="000000"/>
      <w:sz w:val="20"/>
      <w:szCs w:val="20"/>
      <w:lang w:eastAsia="en-AU"/>
    </w:rPr>
  </w:style>
  <w:style w:type="paragraph" w:customStyle="1" w:styleId="font6">
    <w:name w:val="font6"/>
    <w:basedOn w:val="Normal"/>
    <w:rsid w:val="006002CC"/>
    <w:pPr>
      <w:spacing w:before="100" w:beforeAutospacing="1" w:after="100" w:afterAutospacing="1" w:line="240" w:lineRule="auto"/>
    </w:pPr>
    <w:rPr>
      <w:rFonts w:ascii="Calibri" w:eastAsia="Times New Roman" w:hAnsi="Calibri" w:cs="Calibri"/>
      <w:color w:val="000000"/>
      <w:sz w:val="20"/>
      <w:szCs w:val="20"/>
      <w:lang w:eastAsia="en-AU"/>
    </w:rPr>
  </w:style>
  <w:style w:type="paragraph" w:customStyle="1" w:styleId="font7">
    <w:name w:val="font7"/>
    <w:basedOn w:val="Normal"/>
    <w:rsid w:val="006002CC"/>
    <w:pPr>
      <w:spacing w:before="100" w:beforeAutospacing="1" w:after="100" w:afterAutospacing="1" w:line="240" w:lineRule="auto"/>
    </w:pPr>
    <w:rPr>
      <w:rFonts w:ascii="Calibri" w:eastAsia="Times New Roman" w:hAnsi="Calibri" w:cs="Calibri"/>
      <w:b/>
      <w:bCs/>
      <w:i/>
      <w:iCs/>
      <w:color w:val="000000"/>
      <w:sz w:val="20"/>
      <w:szCs w:val="20"/>
      <w:lang w:eastAsia="en-AU"/>
    </w:rPr>
  </w:style>
  <w:style w:type="paragraph" w:customStyle="1" w:styleId="font8">
    <w:name w:val="font8"/>
    <w:basedOn w:val="Normal"/>
    <w:rsid w:val="006002CC"/>
    <w:pPr>
      <w:spacing w:before="100" w:beforeAutospacing="1" w:after="100" w:afterAutospacing="1" w:line="240" w:lineRule="auto"/>
    </w:pPr>
    <w:rPr>
      <w:rFonts w:ascii="Calibri" w:eastAsia="Times New Roman" w:hAnsi="Calibri" w:cs="Calibri"/>
      <w:color w:val="000000"/>
      <w:sz w:val="20"/>
      <w:szCs w:val="20"/>
      <w:u w:val="single"/>
      <w:lang w:eastAsia="en-AU"/>
    </w:rPr>
  </w:style>
  <w:style w:type="paragraph" w:customStyle="1" w:styleId="font9">
    <w:name w:val="font9"/>
    <w:basedOn w:val="Normal"/>
    <w:rsid w:val="006002CC"/>
    <w:pPr>
      <w:spacing w:before="100" w:beforeAutospacing="1" w:after="100" w:afterAutospacing="1" w:line="240" w:lineRule="auto"/>
    </w:pPr>
    <w:rPr>
      <w:rFonts w:ascii="Calibri" w:eastAsia="Times New Roman" w:hAnsi="Calibri" w:cs="Calibri"/>
      <w:i/>
      <w:iCs/>
      <w:color w:val="000000"/>
      <w:sz w:val="20"/>
      <w:szCs w:val="20"/>
      <w:lang w:eastAsia="en-AU"/>
    </w:rPr>
  </w:style>
  <w:style w:type="paragraph" w:customStyle="1" w:styleId="xl65">
    <w:name w:val="xl65"/>
    <w:basedOn w:val="Normal"/>
    <w:rsid w:val="006002CC"/>
    <w:pPr>
      <w:spacing w:before="100" w:beforeAutospacing="1" w:after="100" w:afterAutospacing="1" w:line="240" w:lineRule="auto"/>
    </w:pPr>
    <w:rPr>
      <w:rFonts w:ascii="Times New Roman" w:eastAsia="Times New Roman" w:hAnsi="Times New Roman" w:cs="Times New Roman"/>
      <w:b/>
      <w:bCs/>
      <w:sz w:val="20"/>
      <w:szCs w:val="20"/>
      <w:lang w:eastAsia="en-AU"/>
    </w:rPr>
  </w:style>
  <w:style w:type="paragraph" w:customStyle="1" w:styleId="xl66">
    <w:name w:val="xl66"/>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67">
    <w:name w:val="xl67"/>
    <w:basedOn w:val="Normal"/>
    <w:rsid w:val="006002CC"/>
    <w:pPr>
      <w:spacing w:before="100" w:beforeAutospacing="1" w:after="100" w:afterAutospacing="1" w:line="240" w:lineRule="auto"/>
    </w:pPr>
    <w:rPr>
      <w:rFonts w:ascii="Times New Roman" w:eastAsia="Times New Roman" w:hAnsi="Times New Roman" w:cs="Times New Roman"/>
      <w:b/>
      <w:bCs/>
      <w:sz w:val="20"/>
      <w:szCs w:val="20"/>
      <w:lang w:eastAsia="en-AU"/>
    </w:rPr>
  </w:style>
  <w:style w:type="paragraph" w:customStyle="1" w:styleId="xl68">
    <w:name w:val="xl68"/>
    <w:basedOn w:val="Normal"/>
    <w:rsid w:val="006002CC"/>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en-AU"/>
    </w:rPr>
  </w:style>
  <w:style w:type="paragraph" w:customStyle="1" w:styleId="xl69">
    <w:name w:val="xl69"/>
    <w:basedOn w:val="Normal"/>
    <w:rsid w:val="006002CC"/>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AU"/>
    </w:rPr>
  </w:style>
  <w:style w:type="paragraph" w:customStyle="1" w:styleId="xl70">
    <w:name w:val="xl70"/>
    <w:basedOn w:val="Normal"/>
    <w:rsid w:val="006002C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AU"/>
    </w:rPr>
  </w:style>
  <w:style w:type="paragraph" w:customStyle="1" w:styleId="xl71">
    <w:name w:val="xl71"/>
    <w:basedOn w:val="Normal"/>
    <w:rsid w:val="006002C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n-AU"/>
    </w:rPr>
  </w:style>
  <w:style w:type="paragraph" w:customStyle="1" w:styleId="xl72">
    <w:name w:val="xl72"/>
    <w:basedOn w:val="Normal"/>
    <w:rsid w:val="006002C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AU"/>
    </w:rPr>
  </w:style>
  <w:style w:type="paragraph" w:customStyle="1" w:styleId="xl73">
    <w:name w:val="xl73"/>
    <w:basedOn w:val="Normal"/>
    <w:rsid w:val="006002CC"/>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AU"/>
    </w:rPr>
  </w:style>
  <w:style w:type="paragraph" w:customStyle="1" w:styleId="xl74">
    <w:name w:val="xl74"/>
    <w:basedOn w:val="Normal"/>
    <w:rsid w:val="006002CC"/>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n-AU"/>
    </w:rPr>
  </w:style>
  <w:style w:type="paragraph" w:customStyle="1" w:styleId="xl75">
    <w:name w:val="xl75"/>
    <w:basedOn w:val="Normal"/>
    <w:rsid w:val="006002C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AU"/>
    </w:rPr>
  </w:style>
  <w:style w:type="paragraph" w:customStyle="1" w:styleId="xl76">
    <w:name w:val="xl76"/>
    <w:basedOn w:val="Normal"/>
    <w:rsid w:val="006002CC"/>
    <w:pPr>
      <w:spacing w:before="100" w:beforeAutospacing="1" w:after="100" w:afterAutospacing="1" w:line="240" w:lineRule="auto"/>
    </w:pPr>
    <w:rPr>
      <w:rFonts w:ascii="Times New Roman" w:eastAsia="Times New Roman" w:hAnsi="Times New Roman" w:cs="Times New Roman"/>
      <w:b/>
      <w:bCs/>
      <w:i/>
      <w:iCs/>
      <w:sz w:val="20"/>
      <w:szCs w:val="20"/>
      <w:lang w:eastAsia="en-AU"/>
    </w:rPr>
  </w:style>
  <w:style w:type="paragraph" w:customStyle="1" w:styleId="xl77">
    <w:name w:val="xl77"/>
    <w:basedOn w:val="Normal"/>
    <w:rsid w:val="006002CC"/>
    <w:pPr>
      <w:spacing w:before="100" w:beforeAutospacing="1" w:after="100" w:afterAutospacing="1" w:line="240" w:lineRule="auto"/>
    </w:pPr>
    <w:rPr>
      <w:rFonts w:ascii="Times New Roman" w:eastAsia="Times New Roman" w:hAnsi="Times New Roman" w:cs="Times New Roman"/>
      <w:b/>
      <w:bCs/>
      <w:sz w:val="20"/>
      <w:szCs w:val="20"/>
      <w:lang w:eastAsia="en-AU"/>
    </w:rPr>
  </w:style>
  <w:style w:type="paragraph" w:customStyle="1" w:styleId="xl78">
    <w:name w:val="xl78"/>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79">
    <w:name w:val="xl79"/>
    <w:basedOn w:val="Normal"/>
    <w:rsid w:val="006002C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80">
    <w:name w:val="xl80"/>
    <w:basedOn w:val="Normal"/>
    <w:rsid w:val="006002C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81">
    <w:name w:val="xl81"/>
    <w:basedOn w:val="Normal"/>
    <w:rsid w:val="006002C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82">
    <w:name w:val="xl82"/>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en-AU"/>
    </w:rPr>
  </w:style>
  <w:style w:type="paragraph" w:customStyle="1" w:styleId="xl83">
    <w:name w:val="xl83"/>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84">
    <w:name w:val="xl84"/>
    <w:basedOn w:val="Normal"/>
    <w:rsid w:val="006002C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85">
    <w:name w:val="xl85"/>
    <w:basedOn w:val="Normal"/>
    <w:rsid w:val="006002C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86">
    <w:name w:val="xl86"/>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87">
    <w:name w:val="xl87"/>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88">
    <w:name w:val="xl88"/>
    <w:basedOn w:val="Normal"/>
    <w:rsid w:val="006002C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89">
    <w:name w:val="xl89"/>
    <w:basedOn w:val="Normal"/>
    <w:rsid w:val="006002CC"/>
    <w:pPr>
      <w:spacing w:before="100" w:beforeAutospacing="1" w:after="100" w:afterAutospacing="1" w:line="240" w:lineRule="auto"/>
    </w:pPr>
    <w:rPr>
      <w:rFonts w:ascii="Times New Roman" w:eastAsia="Times New Roman" w:hAnsi="Times New Roman" w:cs="Times New Roman"/>
      <w:b/>
      <w:bCs/>
      <w:i/>
      <w:iCs/>
      <w:sz w:val="20"/>
      <w:szCs w:val="20"/>
      <w:lang w:eastAsia="en-AU"/>
    </w:rPr>
  </w:style>
  <w:style w:type="paragraph" w:customStyle="1" w:styleId="xl90">
    <w:name w:val="xl90"/>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91">
    <w:name w:val="xl91"/>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92">
    <w:name w:val="xl92"/>
    <w:basedOn w:val="Normal"/>
    <w:rsid w:val="006002CC"/>
    <w:pPr>
      <w:spacing w:before="100" w:beforeAutospacing="1" w:after="100" w:afterAutospacing="1" w:line="240" w:lineRule="auto"/>
    </w:pPr>
    <w:rPr>
      <w:rFonts w:ascii="Times New Roman" w:eastAsia="Times New Roman" w:hAnsi="Times New Roman" w:cs="Times New Roman"/>
      <w:i/>
      <w:iCs/>
      <w:sz w:val="20"/>
      <w:szCs w:val="20"/>
      <w:lang w:eastAsia="en-AU"/>
    </w:rPr>
  </w:style>
  <w:style w:type="paragraph" w:customStyle="1" w:styleId="xl93">
    <w:name w:val="xl93"/>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94">
    <w:name w:val="xl94"/>
    <w:basedOn w:val="Normal"/>
    <w:rsid w:val="006002CC"/>
    <w:pPr>
      <w:spacing w:before="100" w:beforeAutospacing="1" w:after="100" w:afterAutospacing="1" w:line="240" w:lineRule="auto"/>
    </w:pPr>
    <w:rPr>
      <w:rFonts w:ascii="Times New Roman" w:eastAsia="Times New Roman" w:hAnsi="Times New Roman" w:cs="Times New Roman"/>
      <w:b/>
      <w:bCs/>
      <w:i/>
      <w:iCs/>
      <w:sz w:val="20"/>
      <w:szCs w:val="20"/>
      <w:lang w:eastAsia="en-AU"/>
    </w:rPr>
  </w:style>
  <w:style w:type="paragraph" w:customStyle="1" w:styleId="xl95">
    <w:name w:val="xl95"/>
    <w:basedOn w:val="Normal"/>
    <w:rsid w:val="006002C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96">
    <w:name w:val="xl96"/>
    <w:basedOn w:val="Normal"/>
    <w:rsid w:val="006002C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97">
    <w:name w:val="xl97"/>
    <w:basedOn w:val="Normal"/>
    <w:rsid w:val="006002CC"/>
    <w:pPr>
      <w:spacing w:before="100" w:beforeAutospacing="1" w:after="100" w:afterAutospacing="1" w:line="240" w:lineRule="auto"/>
    </w:pPr>
    <w:rPr>
      <w:rFonts w:ascii="Times New Roman" w:eastAsia="Times New Roman" w:hAnsi="Times New Roman" w:cs="Times New Roman"/>
      <w:i/>
      <w:iCs/>
      <w:sz w:val="20"/>
      <w:szCs w:val="20"/>
      <w:lang w:eastAsia="en-AU"/>
    </w:rPr>
  </w:style>
  <w:style w:type="paragraph" w:customStyle="1" w:styleId="xl98">
    <w:name w:val="xl98"/>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99">
    <w:name w:val="xl99"/>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b/>
      <w:bCs/>
      <w:sz w:val="20"/>
      <w:szCs w:val="20"/>
      <w:lang w:eastAsia="en-AU"/>
    </w:rPr>
  </w:style>
  <w:style w:type="paragraph" w:customStyle="1" w:styleId="xl100">
    <w:name w:val="xl100"/>
    <w:basedOn w:val="Normal"/>
    <w:rsid w:val="006002C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101">
    <w:name w:val="xl101"/>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102">
    <w:name w:val="xl102"/>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i/>
      <w:iCs/>
      <w:sz w:val="20"/>
      <w:szCs w:val="20"/>
      <w:lang w:eastAsia="en-AU"/>
    </w:rPr>
  </w:style>
  <w:style w:type="paragraph" w:customStyle="1" w:styleId="xl103">
    <w:name w:val="xl103"/>
    <w:basedOn w:val="Normal"/>
    <w:rsid w:val="006002CC"/>
    <w:pPr>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104">
    <w:name w:val="xl104"/>
    <w:basedOn w:val="Normal"/>
    <w:rsid w:val="006002CC"/>
    <w:pP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105">
    <w:name w:val="xl105"/>
    <w:basedOn w:val="Normal"/>
    <w:rsid w:val="006002CC"/>
    <w:pPr>
      <w:spacing w:before="100" w:beforeAutospacing="1" w:after="100" w:afterAutospacing="1" w:line="240" w:lineRule="auto"/>
    </w:pPr>
    <w:rPr>
      <w:rFonts w:ascii="Times New Roman" w:eastAsia="Times New Roman" w:hAnsi="Times New Roman" w:cs="Times New Roman"/>
      <w:b/>
      <w:bCs/>
      <w:i/>
      <w:iCs/>
      <w:sz w:val="20"/>
      <w:szCs w:val="20"/>
      <w:lang w:eastAsia="en-AU"/>
    </w:rPr>
  </w:style>
  <w:style w:type="paragraph" w:customStyle="1" w:styleId="xl106">
    <w:name w:val="xl106"/>
    <w:basedOn w:val="Normal"/>
    <w:rsid w:val="006002CC"/>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customStyle="1" w:styleId="xl107">
    <w:name w:val="xl107"/>
    <w:basedOn w:val="Normal"/>
    <w:rsid w:val="006002CC"/>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lang w:eastAsia="en-AU"/>
    </w:rPr>
  </w:style>
  <w:style w:type="paragraph" w:styleId="NormalWeb">
    <w:name w:val="Normal (Web)"/>
    <w:basedOn w:val="Normal"/>
    <w:uiPriority w:val="99"/>
    <w:unhideWhenUsed/>
    <w:rsid w:val="00F71ADF"/>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6685">
      <w:bodyDiv w:val="1"/>
      <w:marLeft w:val="0"/>
      <w:marRight w:val="0"/>
      <w:marTop w:val="0"/>
      <w:marBottom w:val="0"/>
      <w:divBdr>
        <w:top w:val="none" w:sz="0" w:space="0" w:color="auto"/>
        <w:left w:val="none" w:sz="0" w:space="0" w:color="auto"/>
        <w:bottom w:val="none" w:sz="0" w:space="0" w:color="auto"/>
        <w:right w:val="none" w:sz="0" w:space="0" w:color="auto"/>
      </w:divBdr>
    </w:div>
    <w:div w:id="140276183">
      <w:bodyDiv w:val="1"/>
      <w:marLeft w:val="0"/>
      <w:marRight w:val="0"/>
      <w:marTop w:val="0"/>
      <w:marBottom w:val="0"/>
      <w:divBdr>
        <w:top w:val="none" w:sz="0" w:space="0" w:color="auto"/>
        <w:left w:val="none" w:sz="0" w:space="0" w:color="auto"/>
        <w:bottom w:val="none" w:sz="0" w:space="0" w:color="auto"/>
        <w:right w:val="none" w:sz="0" w:space="0" w:color="auto"/>
      </w:divBdr>
    </w:div>
    <w:div w:id="362873782">
      <w:bodyDiv w:val="1"/>
      <w:marLeft w:val="0"/>
      <w:marRight w:val="0"/>
      <w:marTop w:val="0"/>
      <w:marBottom w:val="0"/>
      <w:divBdr>
        <w:top w:val="none" w:sz="0" w:space="0" w:color="auto"/>
        <w:left w:val="none" w:sz="0" w:space="0" w:color="auto"/>
        <w:bottom w:val="none" w:sz="0" w:space="0" w:color="auto"/>
        <w:right w:val="none" w:sz="0" w:space="0" w:color="auto"/>
      </w:divBdr>
    </w:div>
    <w:div w:id="874347463">
      <w:bodyDiv w:val="1"/>
      <w:marLeft w:val="0"/>
      <w:marRight w:val="0"/>
      <w:marTop w:val="0"/>
      <w:marBottom w:val="0"/>
      <w:divBdr>
        <w:top w:val="none" w:sz="0" w:space="0" w:color="auto"/>
        <w:left w:val="none" w:sz="0" w:space="0" w:color="auto"/>
        <w:bottom w:val="none" w:sz="0" w:space="0" w:color="auto"/>
        <w:right w:val="none" w:sz="0" w:space="0" w:color="auto"/>
      </w:divBdr>
    </w:div>
    <w:div w:id="927232911">
      <w:bodyDiv w:val="1"/>
      <w:marLeft w:val="0"/>
      <w:marRight w:val="0"/>
      <w:marTop w:val="0"/>
      <w:marBottom w:val="0"/>
      <w:divBdr>
        <w:top w:val="none" w:sz="0" w:space="0" w:color="auto"/>
        <w:left w:val="none" w:sz="0" w:space="0" w:color="auto"/>
        <w:bottom w:val="none" w:sz="0" w:space="0" w:color="auto"/>
        <w:right w:val="none" w:sz="0" w:space="0" w:color="auto"/>
      </w:divBdr>
      <w:divsChild>
        <w:div w:id="1390767767">
          <w:marLeft w:val="0"/>
          <w:marRight w:val="0"/>
          <w:marTop w:val="0"/>
          <w:marBottom w:val="0"/>
          <w:divBdr>
            <w:top w:val="none" w:sz="0" w:space="0" w:color="auto"/>
            <w:left w:val="none" w:sz="0" w:space="0" w:color="auto"/>
            <w:bottom w:val="none" w:sz="0" w:space="0" w:color="auto"/>
            <w:right w:val="none" w:sz="0" w:space="0" w:color="auto"/>
          </w:divBdr>
          <w:divsChild>
            <w:div w:id="2108692462">
              <w:marLeft w:val="0"/>
              <w:marRight w:val="0"/>
              <w:marTop w:val="0"/>
              <w:marBottom w:val="0"/>
              <w:divBdr>
                <w:top w:val="none" w:sz="0" w:space="0" w:color="auto"/>
                <w:left w:val="none" w:sz="0" w:space="0" w:color="auto"/>
                <w:bottom w:val="none" w:sz="0" w:space="0" w:color="auto"/>
                <w:right w:val="none" w:sz="0" w:space="0" w:color="auto"/>
              </w:divBdr>
              <w:divsChild>
                <w:div w:id="914510831">
                  <w:marLeft w:val="0"/>
                  <w:marRight w:val="0"/>
                  <w:marTop w:val="0"/>
                  <w:marBottom w:val="0"/>
                  <w:divBdr>
                    <w:top w:val="none" w:sz="0" w:space="0" w:color="auto"/>
                    <w:left w:val="none" w:sz="0" w:space="0" w:color="auto"/>
                    <w:bottom w:val="none" w:sz="0" w:space="0" w:color="auto"/>
                    <w:right w:val="none" w:sz="0" w:space="0" w:color="auto"/>
                  </w:divBdr>
                  <w:divsChild>
                    <w:div w:id="376586823">
                      <w:marLeft w:val="0"/>
                      <w:marRight w:val="0"/>
                      <w:marTop w:val="0"/>
                      <w:marBottom w:val="0"/>
                      <w:divBdr>
                        <w:top w:val="none" w:sz="0" w:space="0" w:color="auto"/>
                        <w:left w:val="none" w:sz="0" w:space="0" w:color="auto"/>
                        <w:bottom w:val="none" w:sz="0" w:space="0" w:color="auto"/>
                        <w:right w:val="none" w:sz="0" w:space="0" w:color="auto"/>
                      </w:divBdr>
                      <w:divsChild>
                        <w:div w:id="1984650821">
                          <w:marLeft w:val="0"/>
                          <w:marRight w:val="0"/>
                          <w:marTop w:val="0"/>
                          <w:marBottom w:val="0"/>
                          <w:divBdr>
                            <w:top w:val="none" w:sz="0" w:space="0" w:color="auto"/>
                            <w:left w:val="none" w:sz="0" w:space="0" w:color="auto"/>
                            <w:bottom w:val="none" w:sz="0" w:space="0" w:color="auto"/>
                            <w:right w:val="none" w:sz="0" w:space="0" w:color="auto"/>
                          </w:divBdr>
                          <w:divsChild>
                            <w:div w:id="1959557963">
                              <w:marLeft w:val="0"/>
                              <w:marRight w:val="0"/>
                              <w:marTop w:val="0"/>
                              <w:marBottom w:val="0"/>
                              <w:divBdr>
                                <w:top w:val="none" w:sz="0" w:space="0" w:color="auto"/>
                                <w:left w:val="none" w:sz="0" w:space="0" w:color="auto"/>
                                <w:bottom w:val="none" w:sz="0" w:space="0" w:color="auto"/>
                                <w:right w:val="none" w:sz="0" w:space="0" w:color="auto"/>
                              </w:divBdr>
                              <w:divsChild>
                                <w:div w:id="1466657106">
                                  <w:marLeft w:val="0"/>
                                  <w:marRight w:val="0"/>
                                  <w:marTop w:val="0"/>
                                  <w:marBottom w:val="0"/>
                                  <w:divBdr>
                                    <w:top w:val="none" w:sz="0" w:space="0" w:color="auto"/>
                                    <w:left w:val="none" w:sz="0" w:space="0" w:color="auto"/>
                                    <w:bottom w:val="none" w:sz="0" w:space="0" w:color="auto"/>
                                    <w:right w:val="none" w:sz="0" w:space="0" w:color="auto"/>
                                  </w:divBdr>
                                  <w:divsChild>
                                    <w:div w:id="587545125">
                                      <w:marLeft w:val="0"/>
                                      <w:marRight w:val="0"/>
                                      <w:marTop w:val="0"/>
                                      <w:marBottom w:val="0"/>
                                      <w:divBdr>
                                        <w:top w:val="none" w:sz="0" w:space="0" w:color="auto"/>
                                        <w:left w:val="none" w:sz="0" w:space="0" w:color="auto"/>
                                        <w:bottom w:val="none" w:sz="0" w:space="0" w:color="auto"/>
                                        <w:right w:val="none" w:sz="0" w:space="0" w:color="auto"/>
                                      </w:divBdr>
                                      <w:divsChild>
                                        <w:div w:id="859051486">
                                          <w:marLeft w:val="0"/>
                                          <w:marRight w:val="0"/>
                                          <w:marTop w:val="0"/>
                                          <w:marBottom w:val="0"/>
                                          <w:divBdr>
                                            <w:top w:val="none" w:sz="0" w:space="0" w:color="auto"/>
                                            <w:left w:val="none" w:sz="0" w:space="0" w:color="auto"/>
                                            <w:bottom w:val="none" w:sz="0" w:space="0" w:color="auto"/>
                                            <w:right w:val="none" w:sz="0" w:space="0" w:color="auto"/>
                                          </w:divBdr>
                                          <w:divsChild>
                                            <w:div w:id="59639534">
                                              <w:marLeft w:val="0"/>
                                              <w:marRight w:val="0"/>
                                              <w:marTop w:val="0"/>
                                              <w:marBottom w:val="0"/>
                                              <w:divBdr>
                                                <w:top w:val="none" w:sz="0" w:space="0" w:color="auto"/>
                                                <w:left w:val="none" w:sz="0" w:space="0" w:color="auto"/>
                                                <w:bottom w:val="none" w:sz="0" w:space="0" w:color="auto"/>
                                                <w:right w:val="none" w:sz="0" w:space="0" w:color="auto"/>
                                              </w:divBdr>
                                              <w:divsChild>
                                                <w:div w:id="626399631">
                                                  <w:marLeft w:val="0"/>
                                                  <w:marRight w:val="0"/>
                                                  <w:marTop w:val="0"/>
                                                  <w:marBottom w:val="0"/>
                                                  <w:divBdr>
                                                    <w:top w:val="none" w:sz="0" w:space="0" w:color="auto"/>
                                                    <w:left w:val="none" w:sz="0" w:space="0" w:color="auto"/>
                                                    <w:bottom w:val="none" w:sz="0" w:space="0" w:color="auto"/>
                                                    <w:right w:val="none" w:sz="0" w:space="0" w:color="auto"/>
                                                  </w:divBdr>
                                                  <w:divsChild>
                                                    <w:div w:id="852837467">
                                                      <w:marLeft w:val="0"/>
                                                      <w:marRight w:val="0"/>
                                                      <w:marTop w:val="0"/>
                                                      <w:marBottom w:val="0"/>
                                                      <w:divBdr>
                                                        <w:top w:val="none" w:sz="0" w:space="0" w:color="auto"/>
                                                        <w:left w:val="none" w:sz="0" w:space="0" w:color="auto"/>
                                                        <w:bottom w:val="none" w:sz="0" w:space="0" w:color="auto"/>
                                                        <w:right w:val="none" w:sz="0" w:space="0" w:color="auto"/>
                                                      </w:divBdr>
                                                      <w:divsChild>
                                                        <w:div w:id="171186117">
                                                          <w:marLeft w:val="0"/>
                                                          <w:marRight w:val="0"/>
                                                          <w:marTop w:val="0"/>
                                                          <w:marBottom w:val="0"/>
                                                          <w:divBdr>
                                                            <w:top w:val="none" w:sz="0" w:space="0" w:color="auto"/>
                                                            <w:left w:val="none" w:sz="0" w:space="0" w:color="auto"/>
                                                            <w:bottom w:val="none" w:sz="0" w:space="0" w:color="auto"/>
                                                            <w:right w:val="none" w:sz="0" w:space="0" w:color="auto"/>
                                                          </w:divBdr>
                                                          <w:divsChild>
                                                            <w:div w:id="1180777966">
                                                              <w:marLeft w:val="0"/>
                                                              <w:marRight w:val="0"/>
                                                              <w:marTop w:val="0"/>
                                                              <w:marBottom w:val="0"/>
                                                              <w:divBdr>
                                                                <w:top w:val="none" w:sz="0" w:space="0" w:color="auto"/>
                                                                <w:left w:val="none" w:sz="0" w:space="0" w:color="auto"/>
                                                                <w:bottom w:val="none" w:sz="0" w:space="0" w:color="auto"/>
                                                                <w:right w:val="none" w:sz="0" w:space="0" w:color="auto"/>
                                                              </w:divBdr>
                                                              <w:divsChild>
                                                                <w:div w:id="862936780">
                                                                  <w:marLeft w:val="0"/>
                                                                  <w:marRight w:val="0"/>
                                                                  <w:marTop w:val="0"/>
                                                                  <w:marBottom w:val="0"/>
                                                                  <w:divBdr>
                                                                    <w:top w:val="none" w:sz="0" w:space="0" w:color="auto"/>
                                                                    <w:left w:val="none" w:sz="0" w:space="0" w:color="auto"/>
                                                                    <w:bottom w:val="none" w:sz="0" w:space="0" w:color="auto"/>
                                                                    <w:right w:val="none" w:sz="0" w:space="0" w:color="auto"/>
                                                                  </w:divBdr>
                                                                  <w:divsChild>
                                                                    <w:div w:id="1101416108">
                                                                      <w:marLeft w:val="0"/>
                                                                      <w:marRight w:val="0"/>
                                                                      <w:marTop w:val="0"/>
                                                                      <w:marBottom w:val="0"/>
                                                                      <w:divBdr>
                                                                        <w:top w:val="none" w:sz="0" w:space="0" w:color="auto"/>
                                                                        <w:left w:val="none" w:sz="0" w:space="0" w:color="auto"/>
                                                                        <w:bottom w:val="none" w:sz="0" w:space="0" w:color="auto"/>
                                                                        <w:right w:val="none" w:sz="0" w:space="0" w:color="auto"/>
                                                                      </w:divBdr>
                                                                      <w:divsChild>
                                                                        <w:div w:id="1435056085">
                                                                          <w:marLeft w:val="0"/>
                                                                          <w:marRight w:val="0"/>
                                                                          <w:marTop w:val="0"/>
                                                                          <w:marBottom w:val="0"/>
                                                                          <w:divBdr>
                                                                            <w:top w:val="none" w:sz="0" w:space="0" w:color="auto"/>
                                                                            <w:left w:val="none" w:sz="0" w:space="0" w:color="auto"/>
                                                                            <w:bottom w:val="none" w:sz="0" w:space="0" w:color="auto"/>
                                                                            <w:right w:val="none" w:sz="0" w:space="0" w:color="auto"/>
                                                                          </w:divBdr>
                                                                          <w:divsChild>
                                                                            <w:div w:id="1399671317">
                                                                              <w:marLeft w:val="0"/>
                                                                              <w:marRight w:val="0"/>
                                                                              <w:marTop w:val="0"/>
                                                                              <w:marBottom w:val="0"/>
                                                                              <w:divBdr>
                                                                                <w:top w:val="none" w:sz="0" w:space="0" w:color="auto"/>
                                                                                <w:left w:val="none" w:sz="0" w:space="0" w:color="auto"/>
                                                                                <w:bottom w:val="none" w:sz="0" w:space="0" w:color="auto"/>
                                                                                <w:right w:val="none" w:sz="0" w:space="0" w:color="auto"/>
                                                                              </w:divBdr>
                                                                              <w:divsChild>
                                                                                <w:div w:id="60904753">
                                                                                  <w:marLeft w:val="0"/>
                                                                                  <w:marRight w:val="0"/>
                                                                                  <w:marTop w:val="0"/>
                                                                                  <w:marBottom w:val="0"/>
                                                                                  <w:divBdr>
                                                                                    <w:top w:val="none" w:sz="0" w:space="0" w:color="auto"/>
                                                                                    <w:left w:val="none" w:sz="0" w:space="0" w:color="auto"/>
                                                                                    <w:bottom w:val="none" w:sz="0" w:space="0" w:color="auto"/>
                                                                                    <w:right w:val="none" w:sz="0" w:space="0" w:color="auto"/>
                                                                                  </w:divBdr>
                                                                                  <w:divsChild>
                                                                                    <w:div w:id="1102413054">
                                                                                      <w:marLeft w:val="0"/>
                                                                                      <w:marRight w:val="0"/>
                                                                                      <w:marTop w:val="0"/>
                                                                                      <w:marBottom w:val="0"/>
                                                                                      <w:divBdr>
                                                                                        <w:top w:val="none" w:sz="0" w:space="0" w:color="auto"/>
                                                                                        <w:left w:val="none" w:sz="0" w:space="0" w:color="auto"/>
                                                                                        <w:bottom w:val="none" w:sz="0" w:space="0" w:color="auto"/>
                                                                                        <w:right w:val="none" w:sz="0" w:space="0" w:color="auto"/>
                                                                                      </w:divBdr>
                                                                                      <w:divsChild>
                                                                                        <w:div w:id="1469321750">
                                                                                          <w:marLeft w:val="0"/>
                                                                                          <w:marRight w:val="0"/>
                                                                                          <w:marTop w:val="0"/>
                                                                                          <w:marBottom w:val="0"/>
                                                                                          <w:divBdr>
                                                                                            <w:top w:val="none" w:sz="0" w:space="0" w:color="auto"/>
                                                                                            <w:left w:val="none" w:sz="0" w:space="0" w:color="auto"/>
                                                                                            <w:bottom w:val="none" w:sz="0" w:space="0" w:color="auto"/>
                                                                                            <w:right w:val="none" w:sz="0" w:space="0" w:color="auto"/>
                                                                                          </w:divBdr>
                                                                                          <w:divsChild>
                                                                                            <w:div w:id="816605720">
                                                                                              <w:marLeft w:val="0"/>
                                                                                              <w:marRight w:val="0"/>
                                                                                              <w:marTop w:val="0"/>
                                                                                              <w:marBottom w:val="0"/>
                                                                                              <w:divBdr>
                                                                                                <w:top w:val="none" w:sz="0" w:space="0" w:color="auto"/>
                                                                                                <w:left w:val="none" w:sz="0" w:space="0" w:color="auto"/>
                                                                                                <w:bottom w:val="none" w:sz="0" w:space="0" w:color="auto"/>
                                                                                                <w:right w:val="none" w:sz="0" w:space="0" w:color="auto"/>
                                                                                              </w:divBdr>
                                                                                              <w:divsChild>
                                                                                                <w:div w:id="691608717">
                                                                                                  <w:marLeft w:val="0"/>
                                                                                                  <w:marRight w:val="0"/>
                                                                                                  <w:marTop w:val="0"/>
                                                                                                  <w:marBottom w:val="0"/>
                                                                                                  <w:divBdr>
                                                                                                    <w:top w:val="none" w:sz="0" w:space="0" w:color="auto"/>
                                                                                                    <w:left w:val="none" w:sz="0" w:space="0" w:color="auto"/>
                                                                                                    <w:bottom w:val="none" w:sz="0" w:space="0" w:color="auto"/>
                                                                                                    <w:right w:val="none" w:sz="0" w:space="0" w:color="auto"/>
                                                                                                  </w:divBdr>
                                                                                                  <w:divsChild>
                                                                                                    <w:div w:id="64108378">
                                                                                                      <w:marLeft w:val="0"/>
                                                                                                      <w:marRight w:val="0"/>
                                                                                                      <w:marTop w:val="0"/>
                                                                                                      <w:marBottom w:val="0"/>
                                                                                                      <w:divBdr>
                                                                                                        <w:top w:val="none" w:sz="0" w:space="0" w:color="auto"/>
                                                                                                        <w:left w:val="none" w:sz="0" w:space="0" w:color="auto"/>
                                                                                                        <w:bottom w:val="none" w:sz="0" w:space="0" w:color="auto"/>
                                                                                                        <w:right w:val="none" w:sz="0" w:space="0" w:color="auto"/>
                                                                                                      </w:divBdr>
                                                                                                      <w:divsChild>
                                                                                                        <w:div w:id="2001345647">
                                                                                                          <w:marLeft w:val="0"/>
                                                                                                          <w:marRight w:val="0"/>
                                                                                                          <w:marTop w:val="0"/>
                                                                                                          <w:marBottom w:val="0"/>
                                                                                                          <w:divBdr>
                                                                                                            <w:top w:val="none" w:sz="0" w:space="0" w:color="auto"/>
                                                                                                            <w:left w:val="none" w:sz="0" w:space="0" w:color="auto"/>
                                                                                                            <w:bottom w:val="none" w:sz="0" w:space="0" w:color="auto"/>
                                                                                                            <w:right w:val="none" w:sz="0" w:space="0" w:color="auto"/>
                                                                                                          </w:divBdr>
                                                                                                          <w:divsChild>
                                                                                                            <w:div w:id="1519854242">
                                                                                                              <w:marLeft w:val="0"/>
                                                                                                              <w:marRight w:val="0"/>
                                                                                                              <w:marTop w:val="0"/>
                                                                                                              <w:marBottom w:val="0"/>
                                                                                                              <w:divBdr>
                                                                                                                <w:top w:val="none" w:sz="0" w:space="0" w:color="auto"/>
                                                                                                                <w:left w:val="none" w:sz="0" w:space="0" w:color="auto"/>
                                                                                                                <w:bottom w:val="none" w:sz="0" w:space="0" w:color="auto"/>
                                                                                                                <w:right w:val="none" w:sz="0" w:space="0" w:color="auto"/>
                                                                                                              </w:divBdr>
                                                                                                              <w:divsChild>
                                                                                                                <w:div w:id="1471098799">
                                                                                                                  <w:marLeft w:val="0"/>
                                                                                                                  <w:marRight w:val="0"/>
                                                                                                                  <w:marTop w:val="0"/>
                                                                                                                  <w:marBottom w:val="0"/>
                                                                                                                  <w:divBdr>
                                                                                                                    <w:top w:val="none" w:sz="0" w:space="0" w:color="auto"/>
                                                                                                                    <w:left w:val="none" w:sz="0" w:space="0" w:color="auto"/>
                                                                                                                    <w:bottom w:val="none" w:sz="0" w:space="0" w:color="auto"/>
                                                                                                                    <w:right w:val="none" w:sz="0" w:space="0" w:color="auto"/>
                                                                                                                  </w:divBdr>
                                                                                                                  <w:divsChild>
                                                                                                                    <w:div w:id="1610121088">
                                                                                                                      <w:marLeft w:val="0"/>
                                                                                                                      <w:marRight w:val="0"/>
                                                                                                                      <w:marTop w:val="0"/>
                                                                                                                      <w:marBottom w:val="0"/>
                                                                                                                      <w:divBdr>
                                                                                                                        <w:top w:val="none" w:sz="0" w:space="0" w:color="auto"/>
                                                                                                                        <w:left w:val="none" w:sz="0" w:space="0" w:color="auto"/>
                                                                                                                        <w:bottom w:val="none" w:sz="0" w:space="0" w:color="auto"/>
                                                                                                                        <w:right w:val="none" w:sz="0" w:space="0" w:color="auto"/>
                                                                                                                      </w:divBdr>
                                                                                                                      <w:divsChild>
                                                                                                                        <w:div w:id="1692686332">
                                                                                                                          <w:marLeft w:val="0"/>
                                                                                                                          <w:marRight w:val="0"/>
                                                                                                                          <w:marTop w:val="0"/>
                                                                                                                          <w:marBottom w:val="0"/>
                                                                                                                          <w:divBdr>
                                                                                                                            <w:top w:val="none" w:sz="0" w:space="0" w:color="auto"/>
                                                                                                                            <w:left w:val="none" w:sz="0" w:space="0" w:color="auto"/>
                                                                                                                            <w:bottom w:val="none" w:sz="0" w:space="0" w:color="auto"/>
                                                                                                                            <w:right w:val="none" w:sz="0" w:space="0" w:color="auto"/>
                                                                                                                          </w:divBdr>
                                                                                                                          <w:divsChild>
                                                                                                                            <w:div w:id="1599101693">
                                                                                                                              <w:marLeft w:val="0"/>
                                                                                                                              <w:marRight w:val="0"/>
                                                                                                                              <w:marTop w:val="0"/>
                                                                                                                              <w:marBottom w:val="0"/>
                                                                                                                              <w:divBdr>
                                                                                                                                <w:top w:val="none" w:sz="0" w:space="0" w:color="auto"/>
                                                                                                                                <w:left w:val="none" w:sz="0" w:space="0" w:color="auto"/>
                                                                                                                                <w:bottom w:val="none" w:sz="0" w:space="0" w:color="auto"/>
                                                                                                                                <w:right w:val="none" w:sz="0" w:space="0" w:color="auto"/>
                                                                                                                              </w:divBdr>
                                                                                                                              <w:divsChild>
                                                                                                                                <w:div w:id="1716193143">
                                                                                                                                  <w:marLeft w:val="0"/>
                                                                                                                                  <w:marRight w:val="0"/>
                                                                                                                                  <w:marTop w:val="0"/>
                                                                                                                                  <w:marBottom w:val="0"/>
                                                                                                                                  <w:divBdr>
                                                                                                                                    <w:top w:val="none" w:sz="0" w:space="0" w:color="auto"/>
                                                                                                                                    <w:left w:val="none" w:sz="0" w:space="0" w:color="auto"/>
                                                                                                                                    <w:bottom w:val="none" w:sz="0" w:space="0" w:color="auto"/>
                                                                                                                                    <w:right w:val="none" w:sz="0" w:space="0" w:color="auto"/>
                                                                                                                                  </w:divBdr>
                                                                                                                                  <w:divsChild>
                                                                                                                                    <w:div w:id="633028065">
                                                                                                                                      <w:marLeft w:val="0"/>
                                                                                                                                      <w:marRight w:val="0"/>
                                                                                                                                      <w:marTop w:val="0"/>
                                                                                                                                      <w:marBottom w:val="0"/>
                                                                                                                                      <w:divBdr>
                                                                                                                                        <w:top w:val="none" w:sz="0" w:space="0" w:color="auto"/>
                                                                                                                                        <w:left w:val="none" w:sz="0" w:space="0" w:color="auto"/>
                                                                                                                                        <w:bottom w:val="none" w:sz="0" w:space="0" w:color="auto"/>
                                                                                                                                        <w:right w:val="none" w:sz="0" w:space="0" w:color="auto"/>
                                                                                                                                      </w:divBdr>
                                                                                                                                      <w:divsChild>
                                                                                                                                        <w:div w:id="982471375">
                                                                                                                                          <w:marLeft w:val="0"/>
                                                                                                                                          <w:marRight w:val="0"/>
                                                                                                                                          <w:marTop w:val="0"/>
                                                                                                                                          <w:marBottom w:val="0"/>
                                                                                                                                          <w:divBdr>
                                                                                                                                            <w:top w:val="none" w:sz="0" w:space="0" w:color="auto"/>
                                                                                                                                            <w:left w:val="none" w:sz="0" w:space="0" w:color="auto"/>
                                                                                                                                            <w:bottom w:val="none" w:sz="0" w:space="0" w:color="auto"/>
                                                                                                                                            <w:right w:val="none" w:sz="0" w:space="0" w:color="auto"/>
                                                                                                                                          </w:divBdr>
                                                                                                                                          <w:divsChild>
                                                                                                                                            <w:div w:id="1037389297">
                                                                                                                                              <w:marLeft w:val="0"/>
                                                                                                                                              <w:marRight w:val="0"/>
                                                                                                                                              <w:marTop w:val="0"/>
                                                                                                                                              <w:marBottom w:val="0"/>
                                                                                                                                              <w:divBdr>
                                                                                                                                                <w:top w:val="none" w:sz="0" w:space="0" w:color="auto"/>
                                                                                                                                                <w:left w:val="none" w:sz="0" w:space="0" w:color="auto"/>
                                                                                                                                                <w:bottom w:val="none" w:sz="0" w:space="0" w:color="auto"/>
                                                                                                                                                <w:right w:val="none" w:sz="0" w:space="0" w:color="auto"/>
                                                                                                                                              </w:divBdr>
                                                                                                                                              <w:divsChild>
                                                                                                                                                <w:div w:id="83651133">
                                                                                                                                                  <w:marLeft w:val="0"/>
                                                                                                                                                  <w:marRight w:val="0"/>
                                                                                                                                                  <w:marTop w:val="0"/>
                                                                                                                                                  <w:marBottom w:val="0"/>
                                                                                                                                                  <w:divBdr>
                                                                                                                                                    <w:top w:val="none" w:sz="0" w:space="0" w:color="auto"/>
                                                                                                                                                    <w:left w:val="none" w:sz="0" w:space="0" w:color="auto"/>
                                                                                                                                                    <w:bottom w:val="none" w:sz="0" w:space="0" w:color="auto"/>
                                                                                                                                                    <w:right w:val="none" w:sz="0" w:space="0" w:color="auto"/>
                                                                                                                                                  </w:divBdr>
                                                                                                                                                  <w:divsChild>
                                                                                                                                                    <w:div w:id="1091050538">
                                                                                                                                                      <w:marLeft w:val="0"/>
                                                                                                                                                      <w:marRight w:val="0"/>
                                                                                                                                                      <w:marTop w:val="0"/>
                                                                                                                                                      <w:marBottom w:val="0"/>
                                                                                                                                                      <w:divBdr>
                                                                                                                                                        <w:top w:val="none" w:sz="0" w:space="0" w:color="auto"/>
                                                                                                                                                        <w:left w:val="none" w:sz="0" w:space="0" w:color="auto"/>
                                                                                                                                                        <w:bottom w:val="none" w:sz="0" w:space="0" w:color="auto"/>
                                                                                                                                                        <w:right w:val="none" w:sz="0" w:space="0" w:color="auto"/>
                                                                                                                                                      </w:divBdr>
                                                                                                                                                      <w:divsChild>
                                                                                                                                                        <w:div w:id="39018994">
                                                                                                                                                          <w:marLeft w:val="0"/>
                                                                                                                                                          <w:marRight w:val="0"/>
                                                                                                                                                          <w:marTop w:val="0"/>
                                                                                                                                                          <w:marBottom w:val="0"/>
                                                                                                                                                          <w:divBdr>
                                                                                                                                                            <w:top w:val="none" w:sz="0" w:space="0" w:color="auto"/>
                                                                                                                                                            <w:left w:val="none" w:sz="0" w:space="0" w:color="auto"/>
                                                                                                                                                            <w:bottom w:val="none" w:sz="0" w:space="0" w:color="auto"/>
                                                                                                                                                            <w:right w:val="none" w:sz="0" w:space="0" w:color="auto"/>
                                                                                                                                                          </w:divBdr>
                                                                                                                                                          <w:divsChild>
                                                                                                                                                            <w:div w:id="682245893">
                                                                                                                                                              <w:marLeft w:val="0"/>
                                                                                                                                                              <w:marRight w:val="0"/>
                                                                                                                                                              <w:marTop w:val="0"/>
                                                                                                                                                              <w:marBottom w:val="0"/>
                                                                                                                                                              <w:divBdr>
                                                                                                                                                                <w:top w:val="none" w:sz="0" w:space="0" w:color="auto"/>
                                                                                                                                                                <w:left w:val="none" w:sz="0" w:space="0" w:color="auto"/>
                                                                                                                                                                <w:bottom w:val="none" w:sz="0" w:space="0" w:color="auto"/>
                                                                                                                                                                <w:right w:val="none" w:sz="0" w:space="0" w:color="auto"/>
                                                                                                                                                              </w:divBdr>
                                                                                                                                                              <w:divsChild>
                                                                                                                                                                <w:div w:id="955452299">
                                                                                                                                                                  <w:marLeft w:val="0"/>
                                                                                                                                                                  <w:marRight w:val="0"/>
                                                                                                                                                                  <w:marTop w:val="0"/>
                                                                                                                                                                  <w:marBottom w:val="0"/>
                                                                                                                                                                  <w:divBdr>
                                                                                                                                                                    <w:top w:val="none" w:sz="0" w:space="0" w:color="auto"/>
                                                                                                                                                                    <w:left w:val="none" w:sz="0" w:space="0" w:color="auto"/>
                                                                                                                                                                    <w:bottom w:val="none" w:sz="0" w:space="0" w:color="auto"/>
                                                                                                                                                                    <w:right w:val="none" w:sz="0" w:space="0" w:color="auto"/>
                                                                                                                                                                  </w:divBdr>
                                                                                                                                                                  <w:divsChild>
                                                                                                                                                                    <w:div w:id="16200450">
                                                                                                                                                                      <w:marLeft w:val="0"/>
                                                                                                                                                                      <w:marRight w:val="0"/>
                                                                                                                                                                      <w:marTop w:val="0"/>
                                                                                                                                                                      <w:marBottom w:val="0"/>
                                                                                                                                                                      <w:divBdr>
                                                                                                                                                                        <w:top w:val="none" w:sz="0" w:space="0" w:color="auto"/>
                                                                                                                                                                        <w:left w:val="none" w:sz="0" w:space="0" w:color="auto"/>
                                                                                                                                                                        <w:bottom w:val="none" w:sz="0" w:space="0" w:color="auto"/>
                                                                                                                                                                        <w:right w:val="none" w:sz="0" w:space="0" w:color="auto"/>
                                                                                                                                                                      </w:divBdr>
                                                                                                                                                                      <w:divsChild>
                                                                                                                                                                        <w:div w:id="1355960736">
                                                                                                                                                                          <w:marLeft w:val="0"/>
                                                                                                                                                                          <w:marRight w:val="0"/>
                                                                                                                                                                          <w:marTop w:val="0"/>
                                                                                                                                                                          <w:marBottom w:val="0"/>
                                                                                                                                                                          <w:divBdr>
                                                                                                                                                                            <w:top w:val="none" w:sz="0" w:space="0" w:color="auto"/>
                                                                                                                                                                            <w:left w:val="none" w:sz="0" w:space="0" w:color="auto"/>
                                                                                                                                                                            <w:bottom w:val="none" w:sz="0" w:space="0" w:color="auto"/>
                                                                                                                                                                            <w:right w:val="none" w:sz="0" w:space="0" w:color="auto"/>
                                                                                                                                                                          </w:divBdr>
                                                                                                                                                                          <w:divsChild>
                                                                                                                                                                            <w:div w:id="1290016119">
                                                                                                                                                                              <w:marLeft w:val="0"/>
                                                                                                                                                                              <w:marRight w:val="0"/>
                                                                                                                                                                              <w:marTop w:val="0"/>
                                                                                                                                                                              <w:marBottom w:val="0"/>
                                                                                                                                                                              <w:divBdr>
                                                                                                                                                                                <w:top w:val="none" w:sz="0" w:space="0" w:color="auto"/>
                                                                                                                                                                                <w:left w:val="none" w:sz="0" w:space="0" w:color="auto"/>
                                                                                                                                                                                <w:bottom w:val="none" w:sz="0" w:space="0" w:color="auto"/>
                                                                                                                                                                                <w:right w:val="none" w:sz="0" w:space="0" w:color="auto"/>
                                                                                                                                                                              </w:divBdr>
                                                                                                                                                                              <w:divsChild>
                                                                                                                                                                                <w:div w:id="1390301669">
                                                                                                                                                                                  <w:marLeft w:val="0"/>
                                                                                                                                                                                  <w:marRight w:val="0"/>
                                                                                                                                                                                  <w:marTop w:val="0"/>
                                                                                                                                                                                  <w:marBottom w:val="0"/>
                                                                                                                                                                                  <w:divBdr>
                                                                                                                                                                                    <w:top w:val="none" w:sz="0" w:space="0" w:color="auto"/>
                                                                                                                                                                                    <w:left w:val="none" w:sz="0" w:space="0" w:color="auto"/>
                                                                                                                                                                                    <w:bottom w:val="none" w:sz="0" w:space="0" w:color="auto"/>
                                                                                                                                                                                    <w:right w:val="none" w:sz="0" w:space="0" w:color="auto"/>
                                                                                                                                                                                  </w:divBdr>
                                                                                                                                                                                  <w:divsChild>
                                                                                                                                                                                    <w:div w:id="630328073">
                                                                                                                                                                                      <w:marLeft w:val="0"/>
                                                                                                                                                                                      <w:marRight w:val="0"/>
                                                                                                                                                                                      <w:marTop w:val="0"/>
                                                                                                                                                                                      <w:marBottom w:val="0"/>
                                                                                                                                                                                      <w:divBdr>
                                                                                                                                                                                        <w:top w:val="none" w:sz="0" w:space="0" w:color="auto"/>
                                                                                                                                                                                        <w:left w:val="none" w:sz="0" w:space="0" w:color="auto"/>
                                                                                                                                                                                        <w:bottom w:val="none" w:sz="0" w:space="0" w:color="auto"/>
                                                                                                                                                                                        <w:right w:val="none" w:sz="0" w:space="0" w:color="auto"/>
                                                                                                                                                                                      </w:divBdr>
                                                                                                                                                                                      <w:divsChild>
                                                                                                                                                                                        <w:div w:id="758868308">
                                                                                                                                                                                          <w:marLeft w:val="0"/>
                                                                                                                                                                                          <w:marRight w:val="0"/>
                                                                                                                                                                                          <w:marTop w:val="0"/>
                                                                                                                                                                                          <w:marBottom w:val="0"/>
                                                                                                                                                                                          <w:divBdr>
                                                                                                                                                                                            <w:top w:val="none" w:sz="0" w:space="0" w:color="auto"/>
                                                                                                                                                                                            <w:left w:val="none" w:sz="0" w:space="0" w:color="auto"/>
                                                                                                                                                                                            <w:bottom w:val="none" w:sz="0" w:space="0" w:color="auto"/>
                                                                                                                                                                                            <w:right w:val="none" w:sz="0" w:space="0" w:color="auto"/>
                                                                                                                                                                                          </w:divBdr>
                                                                                                                                                                                          <w:divsChild>
                                                                                                                                                                                            <w:div w:id="907181862">
                                                                                                                                                                                              <w:marLeft w:val="0"/>
                                                                                                                                                                                              <w:marRight w:val="0"/>
                                                                                                                                                                                              <w:marTop w:val="0"/>
                                                                                                                                                                                              <w:marBottom w:val="0"/>
                                                                                                                                                                                              <w:divBdr>
                                                                                                                                                                                                <w:top w:val="none" w:sz="0" w:space="0" w:color="auto"/>
                                                                                                                                                                                                <w:left w:val="none" w:sz="0" w:space="0" w:color="auto"/>
                                                                                                                                                                                                <w:bottom w:val="none" w:sz="0" w:space="0" w:color="auto"/>
                                                                                                                                                                                                <w:right w:val="none" w:sz="0" w:space="0" w:color="auto"/>
                                                                                                                                                                                              </w:divBdr>
                                                                                                                                                                                              <w:divsChild>
                                                                                                                                                                                                <w:div w:id="1739553729">
                                                                                                                                                                                                  <w:marLeft w:val="0"/>
                                                                                                                                                                                                  <w:marRight w:val="0"/>
                                                                                                                                                                                                  <w:marTop w:val="0"/>
                                                                                                                                                                                                  <w:marBottom w:val="0"/>
                                                                                                                                                                                                  <w:divBdr>
                                                                                                                                                                                                    <w:top w:val="none" w:sz="0" w:space="0" w:color="auto"/>
                                                                                                                                                                                                    <w:left w:val="none" w:sz="0" w:space="0" w:color="auto"/>
                                                                                                                                                                                                    <w:bottom w:val="none" w:sz="0" w:space="0" w:color="auto"/>
                                                                                                                                                                                                    <w:right w:val="none" w:sz="0" w:space="0" w:color="auto"/>
                                                                                                                                                                                                  </w:divBdr>
                                                                                                                                                                                                  <w:divsChild>
                                                                                                                                                                                                    <w:div w:id="270431967">
                                                                                                                                                                                                      <w:marLeft w:val="0"/>
                                                                                                                                                                                                      <w:marRight w:val="0"/>
                                                                                                                                                                                                      <w:marTop w:val="0"/>
                                                                                                                                                                                                      <w:marBottom w:val="0"/>
                                                                                                                                                                                                      <w:divBdr>
                                                                                                                                                                                                        <w:top w:val="none" w:sz="0" w:space="0" w:color="auto"/>
                                                                                                                                                                                                        <w:left w:val="none" w:sz="0" w:space="0" w:color="auto"/>
                                                                                                                                                                                                        <w:bottom w:val="none" w:sz="0" w:space="0" w:color="auto"/>
                                                                                                                                                                                                        <w:right w:val="none" w:sz="0" w:space="0" w:color="auto"/>
                                                                                                                                                                                                      </w:divBdr>
                                                                                                                                                                                                      <w:divsChild>
                                                                                                                                                                                                        <w:div w:id="426731903">
                                                                                                                                                                                                          <w:marLeft w:val="0"/>
                                                                                                                                                                                                          <w:marRight w:val="0"/>
                                                                                                                                                                                                          <w:marTop w:val="0"/>
                                                                                                                                                                                                          <w:marBottom w:val="0"/>
                                                                                                                                                                                                          <w:divBdr>
                                                                                                                                                                                                            <w:top w:val="none" w:sz="0" w:space="0" w:color="auto"/>
                                                                                                                                                                                                            <w:left w:val="none" w:sz="0" w:space="0" w:color="auto"/>
                                                                                                                                                                                                            <w:bottom w:val="none" w:sz="0" w:space="0" w:color="auto"/>
                                                                                                                                                                                                            <w:right w:val="none" w:sz="0" w:space="0" w:color="auto"/>
                                                                                                                                                                                                          </w:divBdr>
                                                                                                                                                                                                          <w:divsChild>
                                                                                                                                                                                                            <w:div w:id="1298032574">
                                                                                                                                                                                                              <w:marLeft w:val="0"/>
                                                                                                                                                                                                              <w:marRight w:val="0"/>
                                                                                                                                                                                                              <w:marTop w:val="0"/>
                                                                                                                                                                                                              <w:marBottom w:val="0"/>
                                                                                                                                                                                                              <w:divBdr>
                                                                                                                                                                                                                <w:top w:val="none" w:sz="0" w:space="0" w:color="auto"/>
                                                                                                                                                                                                                <w:left w:val="none" w:sz="0" w:space="0" w:color="auto"/>
                                                                                                                                                                                                                <w:bottom w:val="none" w:sz="0" w:space="0" w:color="auto"/>
                                                                                                                                                                                                                <w:right w:val="none" w:sz="0" w:space="0" w:color="auto"/>
                                                                                                                                                                                                              </w:divBdr>
                                                                                                                                                                                                              <w:divsChild>
                                                                                                                                                                                                                <w:div w:id="19179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7345">
      <w:bodyDiv w:val="1"/>
      <w:marLeft w:val="0"/>
      <w:marRight w:val="0"/>
      <w:marTop w:val="0"/>
      <w:marBottom w:val="0"/>
      <w:divBdr>
        <w:top w:val="none" w:sz="0" w:space="0" w:color="auto"/>
        <w:left w:val="none" w:sz="0" w:space="0" w:color="auto"/>
        <w:bottom w:val="none" w:sz="0" w:space="0" w:color="auto"/>
        <w:right w:val="none" w:sz="0" w:space="0" w:color="auto"/>
      </w:divBdr>
    </w:div>
    <w:div w:id="1917086869">
      <w:bodyDiv w:val="1"/>
      <w:marLeft w:val="0"/>
      <w:marRight w:val="0"/>
      <w:marTop w:val="0"/>
      <w:marBottom w:val="0"/>
      <w:divBdr>
        <w:top w:val="none" w:sz="0" w:space="0" w:color="auto"/>
        <w:left w:val="none" w:sz="0" w:space="0" w:color="auto"/>
        <w:bottom w:val="none" w:sz="0" w:space="0" w:color="auto"/>
        <w:right w:val="none" w:sz="0" w:space="0" w:color="auto"/>
      </w:divBdr>
      <w:divsChild>
        <w:div w:id="603612639">
          <w:marLeft w:val="0"/>
          <w:marRight w:val="0"/>
          <w:marTop w:val="0"/>
          <w:marBottom w:val="0"/>
          <w:divBdr>
            <w:top w:val="none" w:sz="0" w:space="0" w:color="auto"/>
            <w:left w:val="none" w:sz="0" w:space="0" w:color="auto"/>
            <w:bottom w:val="none" w:sz="0" w:space="0" w:color="auto"/>
            <w:right w:val="none" w:sz="0" w:space="0" w:color="auto"/>
          </w:divBdr>
          <w:divsChild>
            <w:div w:id="13686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8617">
      <w:bodyDiv w:val="1"/>
      <w:marLeft w:val="0"/>
      <w:marRight w:val="0"/>
      <w:marTop w:val="0"/>
      <w:marBottom w:val="0"/>
      <w:divBdr>
        <w:top w:val="none" w:sz="0" w:space="0" w:color="auto"/>
        <w:left w:val="none" w:sz="0" w:space="0" w:color="auto"/>
        <w:bottom w:val="none" w:sz="0" w:space="0" w:color="auto"/>
        <w:right w:val="none" w:sz="0" w:space="0" w:color="auto"/>
      </w:divBdr>
    </w:div>
    <w:div w:id="19625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083C2-0DAC-48B0-95CB-71CFC884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24357</Words>
  <Characters>138840</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162872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Reddan</dc:creator>
  <cp:keywords/>
  <dc:description/>
  <cp:lastModifiedBy>Chris Diana Bedford</cp:lastModifiedBy>
  <cp:revision>57</cp:revision>
  <cp:lastPrinted>2018-04-28T00:23:00Z</cp:lastPrinted>
  <dcterms:created xsi:type="dcterms:W3CDTF">2018-04-28T00:24:00Z</dcterms:created>
  <dcterms:modified xsi:type="dcterms:W3CDTF">2018-10-05T13:27:00Z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http://www.zotero.org/styles/public-health-nutrition</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http://www.zotero.org/styles/frontiers-in-neuroscience</vt:lpwstr>
  </property>
  <property fmtid="{D5CDD505-2E9C-101B-9397-08002B2CF9AE}" pid="13" name="Mendeley Recent Style Name 4_1">
    <vt:lpwstr>Frontiers in Neuroscience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http://www.zotero.org/styles/public-health-nutrition</vt:lpwstr>
  </property>
  <property fmtid="{D5CDD505-2E9C-101B-9397-08002B2CF9AE}" pid="21" name="Mendeley Recent Style Name 8_1">
    <vt:lpwstr>Public Health Nutrition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e0a3f209-d913-388a-b9ab-7293de8d1132</vt:lpwstr>
  </property>
</Properties>
</file>