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E197" w14:textId="77777777" w:rsidR="00DE36BD" w:rsidRPr="00DE36BD" w:rsidRDefault="00DE36BD" w:rsidP="00DE36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DE36BD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en-CA"/>
          <w14:ligatures w14:val="none"/>
        </w:rPr>
        <w:t xml:space="preserve">Table S1. </w:t>
      </w:r>
      <w:r w:rsidRPr="00DE36B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en-CA"/>
          <w14:ligatures w14:val="none"/>
        </w:rPr>
        <w:t>Exclusion criteria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E36BD" w:rsidRPr="00DE36BD" w14:paraId="0FC54EB5" w14:textId="77777777" w:rsidTr="00DE36B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2226B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Current symptoms were better explained by symptoms of major depressive disorder or bipolar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disorder;</w:t>
            </w:r>
            <w:proofErr w:type="gramEnd"/>
          </w:p>
          <w:p w14:paraId="733F1E10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Symptoms were fully explained by pre-existing conditions that may cause cognitive impairment or symptoms similar to those seen in PCC [e.g., attention deficit/hyperactivity disorder (ADHD), major neurocognitive disorder, schizophrenia, chronic fatigue syndrome (CFS)/encephalitis meningitis (EM), as assessed by Mini International Neuropsychiatric Interview (M.I.N.I.) 7.0.2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];</w:t>
            </w:r>
            <w:proofErr w:type="gramEnd"/>
          </w:p>
          <w:p w14:paraId="577138AF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Known intolerance to vortioxetine and/or prior trial of vortioxetine with demonstrated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inefficacy;</w:t>
            </w:r>
            <w:proofErr w:type="gramEnd"/>
          </w:p>
          <w:p w14:paraId="2D986891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Current alcohol and/or substance use disorder, as confirmed by the M.I.N.I.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7.0.2;</w:t>
            </w:r>
            <w:proofErr w:type="gramEnd"/>
          </w:p>
          <w:p w14:paraId="4AF05818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Presence of comorbid psychiatric disorder that is a primary focus of clinical concern, as confirmed by the M.I.N.I.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7.0.2;</w:t>
            </w:r>
            <w:proofErr w:type="gramEnd"/>
          </w:p>
          <w:p w14:paraId="01706D42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Previous history of mania/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hypomania;</w:t>
            </w:r>
            <w:proofErr w:type="gramEnd"/>
          </w:p>
          <w:p w14:paraId="511C3CF7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Taking medications approved and/or employed off-label for cognitive dysfunction (e.g., psychostimulants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);</w:t>
            </w:r>
            <w:proofErr w:type="gramEnd"/>
          </w:p>
          <w:p w14:paraId="435BAE37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Any medication for a general medical disorder that may affect cognitive function (as per clinical judgment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);</w:t>
            </w:r>
            <w:proofErr w:type="gramEnd"/>
          </w:p>
          <w:p w14:paraId="2F375B28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Use of benzodiazepines within 12 hours of cognitive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assessments;</w:t>
            </w:r>
            <w:proofErr w:type="gramEnd"/>
          </w:p>
          <w:p w14:paraId="79B0EBF0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Consumption of alcohol within eight hours of cognitive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assessments;</w:t>
            </w:r>
            <w:proofErr w:type="gramEnd"/>
          </w:p>
          <w:p w14:paraId="1358514C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Any physical, cognitive, or language impairments sufficient to adversely affect data derived from cognitive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assessments;</w:t>
            </w:r>
            <w:proofErr w:type="gramEnd"/>
          </w:p>
          <w:p w14:paraId="3E3394DF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Diagnosed reading disability or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dyslexia;</w:t>
            </w:r>
            <w:proofErr w:type="gramEnd"/>
          </w:p>
          <w:p w14:paraId="5BE2F4B2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Clinically significant learning disorder by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history;</w:t>
            </w:r>
            <w:proofErr w:type="gramEnd"/>
          </w:p>
          <w:p w14:paraId="2CD227A8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Treatment with electroconvulsive therapy (ECT) in the last 6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months;</w:t>
            </w:r>
            <w:proofErr w:type="gramEnd"/>
          </w:p>
          <w:p w14:paraId="15482D74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History of moderate or severe head trauma (e.g., loss of consciousness for &gt; 1 hour), other neurological disorders, or unstable systemic medical diseases that are likely to affect the central nervous system (as per clinical judgment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);</w:t>
            </w:r>
            <w:proofErr w:type="gramEnd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0D047151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Pregnant and/or breastfeeding; received investigational agents as part of a separate study within 30 days of the screening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visit;</w:t>
            </w:r>
            <w:proofErr w:type="gramEnd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7E7BF069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Actively suicidal/presence of suicidal ideation or evaluated as being at suicide risk (as per clinical judgment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);</w:t>
            </w:r>
            <w:proofErr w:type="gramEnd"/>
          </w:p>
          <w:p w14:paraId="73C2F0FD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Currently receiving treatment with monoamine oxidase inhibitor (MAOI) antidepressants, antibiotics such as linezolid or intravenous methylene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blue;</w:t>
            </w:r>
            <w:proofErr w:type="gramEnd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18A41C10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Previous hypersensitivity reaction to vortioxetine or any components of the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formulation;</w:t>
            </w:r>
            <w:proofErr w:type="gramEnd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6AD558EB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Previously reported angioedema in persons treated with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vortioxetine;</w:t>
            </w:r>
            <w:proofErr w:type="gramEnd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15C117AD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Serotonin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syndrome;</w:t>
            </w:r>
            <w:proofErr w:type="gramEnd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2BB5F555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Abnormal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bleeding;</w:t>
            </w:r>
            <w:proofErr w:type="gramEnd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7E917B2B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Angle closure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glaucoma;</w:t>
            </w:r>
            <w:proofErr w:type="gramEnd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2E2F10CA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Hyponatremia;</w:t>
            </w:r>
            <w:proofErr w:type="gramEnd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5EA3EC13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Moderate hepatic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impairment;</w:t>
            </w:r>
            <w:proofErr w:type="gramEnd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51A474CF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Active seizure disorder/epilepsy that is not controlled by medication (as per clinical judgment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);</w:t>
            </w:r>
            <w:proofErr w:type="gramEnd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2D221639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Presence of any unstable medical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conditions;</w:t>
            </w:r>
            <w:proofErr w:type="gramEnd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0FBB4733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 xml:space="preserve">Inability to follow study </w:t>
            </w:r>
            <w:proofErr w:type="gramStart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procedures;</w:t>
            </w:r>
            <w:proofErr w:type="gramEnd"/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1EA735BD" w14:textId="77777777" w:rsidR="00DE36BD" w:rsidRPr="00DE36BD" w:rsidRDefault="00DE36BD" w:rsidP="00DE36BD">
            <w:pPr>
              <w:numPr>
                <w:ilvl w:val="0"/>
                <w:numId w:val="2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DE36BD">
              <w:rPr>
                <w:rFonts w:ascii="Times New Roman" w:eastAsia="Times New Roman" w:hAnsi="Times New Roman" w:cs="Times New Roman"/>
                <w:color w:val="000000"/>
                <w:kern w:val="0"/>
                <w:lang w:eastAsia="en-CA"/>
                <w14:ligatures w14:val="none"/>
              </w:rPr>
              <w:t>And inability to give informed consent.</w:t>
            </w:r>
          </w:p>
        </w:tc>
      </w:tr>
    </w:tbl>
    <w:p w14:paraId="39A034F1" w14:textId="77777777" w:rsidR="00F26645" w:rsidRDefault="00F26645"/>
    <w:sectPr w:rsidR="00F266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0A86"/>
    <w:multiLevelType w:val="multilevel"/>
    <w:tmpl w:val="ACA2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A3A1B"/>
    <w:multiLevelType w:val="multilevel"/>
    <w:tmpl w:val="CF06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323280">
    <w:abstractNumId w:val="0"/>
  </w:num>
  <w:num w:numId="2" w16cid:durableId="46458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BD"/>
    <w:rsid w:val="00DE36BD"/>
    <w:rsid w:val="00F2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2A81"/>
  <w15:chartTrackingRefBased/>
  <w15:docId w15:val="{7AADBA9F-D52E-4A1F-8398-1F48E6DE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Kleine</dc:creator>
  <cp:keywords/>
  <dc:description/>
  <cp:lastModifiedBy>Nicholas Kleine</cp:lastModifiedBy>
  <cp:revision>1</cp:revision>
  <dcterms:created xsi:type="dcterms:W3CDTF">2024-02-13T01:51:00Z</dcterms:created>
  <dcterms:modified xsi:type="dcterms:W3CDTF">2024-02-13T01:53:00Z</dcterms:modified>
</cp:coreProperties>
</file>